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480" w:rsidRPr="00A10480" w:rsidRDefault="00A10480" w:rsidP="00AB65DB">
      <w:pPr>
        <w:shd w:val="clear" w:color="auto" w:fill="FFFFFF"/>
        <w:spacing w:after="0" w:line="360" w:lineRule="auto"/>
        <w:rPr>
          <w:rFonts w:asciiTheme="majorHAnsi" w:eastAsia="Calibri" w:hAnsiTheme="majorHAnsi" w:cs="Mangal"/>
          <w:b/>
          <w:bCs/>
          <w:sz w:val="24"/>
          <w:szCs w:val="24"/>
        </w:rPr>
      </w:pPr>
      <w:r w:rsidRPr="00A10480">
        <w:rPr>
          <w:rFonts w:asciiTheme="majorHAnsi" w:eastAsia="Calibri" w:hAnsiTheme="majorHAnsi" w:cs="Mangal"/>
          <w:b/>
          <w:bCs/>
          <w:sz w:val="24"/>
          <w:szCs w:val="24"/>
          <w:highlight w:val="lightGray"/>
        </w:rPr>
        <w:t>Original article:</w:t>
      </w:r>
    </w:p>
    <w:p w:rsidR="001936BF" w:rsidRPr="00EC6045" w:rsidRDefault="001936BF" w:rsidP="00AB65DB">
      <w:pPr>
        <w:spacing w:after="0" w:line="360" w:lineRule="auto"/>
        <w:rPr>
          <w:rFonts w:asciiTheme="majorHAnsi" w:hAnsiTheme="majorHAnsi" w:cs="Times New Roman"/>
          <w:b/>
          <w:color w:val="0070C0"/>
          <w:sz w:val="28"/>
          <w:szCs w:val="28"/>
        </w:rPr>
      </w:pPr>
      <w:r w:rsidRPr="00A10480">
        <w:rPr>
          <w:rFonts w:asciiTheme="majorHAnsi" w:hAnsiTheme="majorHAnsi" w:cs="Times New Roman"/>
          <w:b/>
          <w:bCs/>
          <w:color w:val="0070C0"/>
          <w:sz w:val="28"/>
          <w:szCs w:val="28"/>
        </w:rPr>
        <w:t>Periodontal status in different socioeconomic groups of patients attending Government Dental College and Hospital, Ahmedabad</w:t>
      </w:r>
      <w:r w:rsidR="00EC6045">
        <w:rPr>
          <w:rFonts w:asciiTheme="majorHAnsi" w:hAnsiTheme="majorHAnsi" w:cs="Times New Roman"/>
          <w:b/>
          <w:color w:val="0070C0"/>
          <w:sz w:val="28"/>
          <w:szCs w:val="28"/>
        </w:rPr>
        <w:t xml:space="preserve"> , </w:t>
      </w:r>
      <w:r w:rsidRPr="00A10480">
        <w:rPr>
          <w:rFonts w:asciiTheme="majorHAnsi" w:hAnsiTheme="majorHAnsi" w:cs="Times New Roman"/>
          <w:b/>
          <w:bCs/>
          <w:sz w:val="20"/>
          <w:szCs w:val="20"/>
        </w:rPr>
        <w:t>Neeta Bhavsar</w:t>
      </w:r>
      <w:r w:rsidR="00EC6045">
        <w:rPr>
          <w:rFonts w:asciiTheme="majorHAnsi" w:hAnsiTheme="majorHAnsi" w:cs="Times New Roman"/>
          <w:b/>
          <w:bCs/>
          <w:sz w:val="20"/>
          <w:szCs w:val="20"/>
          <w:vertAlign w:val="superscript"/>
        </w:rPr>
        <w:t xml:space="preserve"> </w:t>
      </w:r>
      <w:r w:rsidRPr="00A10480">
        <w:rPr>
          <w:rFonts w:asciiTheme="majorHAnsi" w:hAnsiTheme="majorHAnsi" w:cs="Times New Roman"/>
          <w:b/>
          <w:bCs/>
          <w:sz w:val="20"/>
          <w:szCs w:val="20"/>
        </w:rPr>
        <w:t>, Nachiket Patel</w:t>
      </w:r>
      <w:r w:rsidR="00EC6045">
        <w:rPr>
          <w:rFonts w:asciiTheme="majorHAnsi" w:hAnsiTheme="majorHAnsi" w:cs="Times New Roman"/>
          <w:b/>
          <w:bCs/>
          <w:sz w:val="20"/>
          <w:szCs w:val="20"/>
          <w:vertAlign w:val="superscript"/>
        </w:rPr>
        <w:t xml:space="preserve"> </w:t>
      </w:r>
      <w:r w:rsidR="00EC6045">
        <w:rPr>
          <w:rFonts w:asciiTheme="majorHAnsi" w:hAnsiTheme="majorHAnsi" w:cs="Times New Roman"/>
          <w:b/>
          <w:bCs/>
          <w:sz w:val="20"/>
          <w:szCs w:val="20"/>
        </w:rPr>
        <w:t xml:space="preserve">, </w:t>
      </w:r>
      <w:r w:rsidRPr="00A10480">
        <w:rPr>
          <w:rFonts w:asciiTheme="majorHAnsi" w:hAnsiTheme="majorHAnsi" w:cs="Times New Roman"/>
          <w:b/>
          <w:bCs/>
          <w:sz w:val="20"/>
          <w:szCs w:val="20"/>
        </w:rPr>
        <w:t xml:space="preserve"> Nilam Brahmbhatt</w:t>
      </w:r>
    </w:p>
    <w:p w:rsidR="00A10480" w:rsidRPr="00A10480" w:rsidRDefault="00A10480" w:rsidP="00AB65DB">
      <w:pPr>
        <w:spacing w:after="0" w:line="360" w:lineRule="auto"/>
        <w:rPr>
          <w:rFonts w:asciiTheme="majorHAnsi" w:hAnsiTheme="majorHAnsi" w:cs="Times New Roman"/>
          <w:b/>
          <w:sz w:val="20"/>
          <w:szCs w:val="20"/>
        </w:rPr>
      </w:pPr>
    </w:p>
    <w:p w:rsidR="001936BF" w:rsidRPr="00AB65DB" w:rsidRDefault="001936BF" w:rsidP="00AB65DB">
      <w:pPr>
        <w:spacing w:after="0" w:line="360" w:lineRule="auto"/>
        <w:rPr>
          <w:rFonts w:asciiTheme="majorHAnsi" w:hAnsiTheme="majorHAnsi" w:cs="Times New Roman"/>
          <w:sz w:val="18"/>
          <w:szCs w:val="18"/>
        </w:rPr>
      </w:pPr>
      <w:r w:rsidRPr="00AB65DB">
        <w:rPr>
          <w:rFonts w:asciiTheme="majorHAnsi" w:hAnsiTheme="majorHAnsi" w:cs="Times New Roman"/>
          <w:b/>
          <w:bCs/>
          <w:sz w:val="18"/>
          <w:szCs w:val="18"/>
          <w:vertAlign w:val="superscript"/>
        </w:rPr>
        <w:t>1.</w:t>
      </w:r>
      <w:r w:rsidRPr="00AB65DB">
        <w:rPr>
          <w:rFonts w:asciiTheme="majorHAnsi" w:hAnsiTheme="majorHAnsi" w:cs="Times New Roman"/>
          <w:sz w:val="18"/>
          <w:szCs w:val="18"/>
        </w:rPr>
        <w:t xml:space="preserve"> Professor &amp; Head of Department, Department of Periodontia, Government Dental College and Hospital, Ahmedabad</w:t>
      </w:r>
    </w:p>
    <w:p w:rsidR="001936BF" w:rsidRPr="00AB65DB" w:rsidRDefault="001936BF" w:rsidP="00AB65DB">
      <w:pPr>
        <w:spacing w:after="0" w:line="360" w:lineRule="auto"/>
        <w:rPr>
          <w:rFonts w:asciiTheme="majorHAnsi" w:hAnsiTheme="majorHAnsi" w:cs="Times New Roman"/>
          <w:sz w:val="18"/>
          <w:szCs w:val="18"/>
        </w:rPr>
      </w:pPr>
      <w:r w:rsidRPr="00AB65DB">
        <w:rPr>
          <w:rFonts w:asciiTheme="majorHAnsi" w:hAnsiTheme="majorHAnsi" w:cs="Times New Roman"/>
          <w:b/>
          <w:bCs/>
          <w:sz w:val="18"/>
          <w:szCs w:val="18"/>
          <w:vertAlign w:val="superscript"/>
        </w:rPr>
        <w:t>2.</w:t>
      </w:r>
      <w:r w:rsidRPr="00AB65DB">
        <w:rPr>
          <w:rFonts w:asciiTheme="majorHAnsi" w:hAnsiTheme="majorHAnsi" w:cs="Times New Roman"/>
          <w:sz w:val="18"/>
          <w:szCs w:val="18"/>
        </w:rPr>
        <w:t xml:space="preserve"> Post-graduate student, Department of Periodontia, Government Dental College and Hospital, Ahmedabad</w:t>
      </w:r>
    </w:p>
    <w:p w:rsidR="001936BF" w:rsidRPr="00AB65DB" w:rsidRDefault="001936BF" w:rsidP="00AB65DB">
      <w:pPr>
        <w:spacing w:after="0" w:line="360" w:lineRule="auto"/>
        <w:rPr>
          <w:rFonts w:asciiTheme="majorHAnsi" w:hAnsiTheme="majorHAnsi" w:cs="Times New Roman"/>
          <w:sz w:val="18"/>
          <w:szCs w:val="18"/>
        </w:rPr>
      </w:pPr>
      <w:r w:rsidRPr="00AB65DB">
        <w:rPr>
          <w:rFonts w:asciiTheme="majorHAnsi" w:hAnsiTheme="majorHAnsi" w:cs="Times New Roman"/>
          <w:b/>
          <w:bCs/>
          <w:sz w:val="18"/>
          <w:szCs w:val="18"/>
          <w:vertAlign w:val="superscript"/>
        </w:rPr>
        <w:t>3.</w:t>
      </w:r>
      <w:r w:rsidRPr="00AB65DB">
        <w:rPr>
          <w:rFonts w:asciiTheme="majorHAnsi" w:hAnsiTheme="majorHAnsi" w:cs="Times New Roman"/>
          <w:sz w:val="18"/>
          <w:szCs w:val="18"/>
        </w:rPr>
        <w:t xml:space="preserve"> Assistant Professor, Department of Periodontia, Government Dental College and Hospital, Ahmedabad</w:t>
      </w:r>
    </w:p>
    <w:p w:rsidR="001936BF" w:rsidRPr="00AB65DB" w:rsidRDefault="00AB65DB" w:rsidP="00AB65DB">
      <w:pPr>
        <w:pStyle w:val="NormalWeb"/>
        <w:pBdr>
          <w:bottom w:val="single" w:sz="6" w:space="1" w:color="auto"/>
        </w:pBdr>
        <w:shd w:val="clear" w:color="auto" w:fill="FFFFFF"/>
        <w:spacing w:before="0" w:beforeAutospacing="0" w:after="0" w:afterAutospacing="0" w:line="360" w:lineRule="auto"/>
        <w:ind w:left="180" w:right="225" w:hanging="180"/>
        <w:rPr>
          <w:rFonts w:asciiTheme="majorHAnsi" w:hAnsiTheme="majorHAnsi"/>
          <w:bCs/>
          <w:sz w:val="18"/>
          <w:szCs w:val="18"/>
        </w:rPr>
      </w:pPr>
      <w:r w:rsidRPr="00AB65DB">
        <w:rPr>
          <w:rFonts w:asciiTheme="majorHAnsi" w:hAnsiTheme="majorHAnsi"/>
          <w:bCs/>
          <w:sz w:val="18"/>
          <w:szCs w:val="18"/>
        </w:rPr>
        <w:t>C</w:t>
      </w:r>
      <w:r w:rsidR="001936BF" w:rsidRPr="00AB65DB">
        <w:rPr>
          <w:rFonts w:asciiTheme="majorHAnsi" w:hAnsiTheme="majorHAnsi"/>
          <w:bCs/>
          <w:sz w:val="18"/>
          <w:szCs w:val="18"/>
        </w:rPr>
        <w:t>orresponding author: Dr. Nachiket Patel</w:t>
      </w:r>
    </w:p>
    <w:p w:rsidR="00A10480" w:rsidRDefault="00A10480" w:rsidP="00A10480">
      <w:pPr>
        <w:spacing w:after="0" w:line="360" w:lineRule="auto"/>
        <w:jc w:val="both"/>
        <w:rPr>
          <w:rFonts w:ascii="Times New Roman" w:hAnsi="Times New Roman" w:cs="Times New Roman"/>
          <w:sz w:val="20"/>
          <w:szCs w:val="20"/>
        </w:rPr>
      </w:pPr>
    </w:p>
    <w:p w:rsidR="00A10480" w:rsidRDefault="00A10480" w:rsidP="00A10480">
      <w:pPr>
        <w:autoSpaceDE w:val="0"/>
        <w:autoSpaceDN w:val="0"/>
        <w:adjustRightInd w:val="0"/>
        <w:spacing w:after="0" w:line="360" w:lineRule="auto"/>
        <w:jc w:val="both"/>
        <w:rPr>
          <w:rFonts w:ascii="Times New Roman" w:hAnsi="Times New Roman" w:cs="Times New Roman"/>
          <w:b/>
          <w:sz w:val="20"/>
          <w:szCs w:val="20"/>
        </w:rPr>
        <w:sectPr w:rsidR="00A10480" w:rsidSect="00AB65DB">
          <w:headerReference w:type="default" r:id="rId8"/>
          <w:footerReference w:type="default" r:id="rId9"/>
          <w:pgSz w:w="12240" w:h="15840"/>
          <w:pgMar w:top="1440" w:right="1440" w:bottom="1440" w:left="1440" w:header="720" w:footer="720" w:gutter="0"/>
          <w:pgNumType w:start="32"/>
          <w:cols w:space="720"/>
          <w:docGrid w:linePitch="360"/>
        </w:sectPr>
      </w:pPr>
    </w:p>
    <w:p w:rsidR="00966299" w:rsidRPr="00A10480" w:rsidRDefault="00966299" w:rsidP="00A10480">
      <w:pPr>
        <w:autoSpaceDE w:val="0"/>
        <w:autoSpaceDN w:val="0"/>
        <w:adjustRightInd w:val="0"/>
        <w:spacing w:after="0" w:line="360" w:lineRule="auto"/>
        <w:jc w:val="both"/>
        <w:rPr>
          <w:rFonts w:ascii="Times New Roman" w:hAnsi="Times New Roman" w:cs="Times New Roman"/>
          <w:b/>
          <w:sz w:val="20"/>
          <w:szCs w:val="20"/>
        </w:rPr>
      </w:pPr>
      <w:r w:rsidRPr="00A10480">
        <w:rPr>
          <w:rFonts w:ascii="Times New Roman" w:hAnsi="Times New Roman" w:cs="Times New Roman"/>
          <w:b/>
          <w:sz w:val="20"/>
          <w:szCs w:val="20"/>
        </w:rPr>
        <w:lastRenderedPageBreak/>
        <w:t>Abstract:</w:t>
      </w:r>
    </w:p>
    <w:p w:rsidR="00B5489E" w:rsidRPr="00AB65DB" w:rsidRDefault="00AB65DB" w:rsidP="00AB65DB">
      <w:pPr>
        <w:pStyle w:val="Default"/>
        <w:spacing w:line="360" w:lineRule="auto"/>
        <w:jc w:val="both"/>
        <w:rPr>
          <w:b/>
          <w:color w:val="auto"/>
          <w:sz w:val="18"/>
          <w:szCs w:val="18"/>
        </w:rPr>
      </w:pPr>
      <w:r w:rsidRPr="00A10480">
        <w:rPr>
          <w:b/>
          <w:color w:val="auto"/>
          <w:sz w:val="18"/>
          <w:szCs w:val="18"/>
        </w:rPr>
        <w:t>Introduction</w:t>
      </w:r>
      <w:r>
        <w:rPr>
          <w:b/>
          <w:color w:val="auto"/>
          <w:sz w:val="18"/>
          <w:szCs w:val="18"/>
        </w:rPr>
        <w:t xml:space="preserve">: </w:t>
      </w:r>
      <w:r w:rsidR="004B4D0C" w:rsidRPr="00A10480">
        <w:rPr>
          <w:sz w:val="18"/>
          <w:szCs w:val="18"/>
          <w:lang w:bidi="gu-IN"/>
        </w:rPr>
        <w:t>Socioeconomic status</w:t>
      </w:r>
      <w:r w:rsidR="008C1E65" w:rsidRPr="00A10480">
        <w:rPr>
          <w:sz w:val="18"/>
          <w:szCs w:val="18"/>
          <w:lang w:bidi="gu-IN"/>
        </w:rPr>
        <w:t xml:space="preserve"> is defined as a measure of one’s combined economic and social status</w:t>
      </w:r>
      <w:r w:rsidR="00C22E35" w:rsidRPr="00A10480">
        <w:rPr>
          <w:sz w:val="18"/>
          <w:szCs w:val="18"/>
          <w:lang w:bidi="gu-IN"/>
        </w:rPr>
        <w:t>. Some studies lend support to the perception that differences of socio-economic aspects play a major part in the development of periodontal diseases.The aim of this study was to</w:t>
      </w:r>
      <w:r w:rsidR="00C22E35" w:rsidRPr="00A10480">
        <w:rPr>
          <w:sz w:val="18"/>
          <w:szCs w:val="18"/>
        </w:rPr>
        <w:t xml:space="preserve"> determine the periodontal status by CPITN index in different socioeconomic groups of patients attending Government Dental College and Hospital, Ahmedabad</w:t>
      </w:r>
      <w:r w:rsidR="00096A28" w:rsidRPr="00A10480">
        <w:rPr>
          <w:sz w:val="18"/>
          <w:szCs w:val="18"/>
        </w:rPr>
        <w:t>.</w:t>
      </w:r>
    </w:p>
    <w:p w:rsidR="004B4D0C" w:rsidRPr="00A10480" w:rsidRDefault="00EB7410" w:rsidP="00A10480">
      <w:pPr>
        <w:pStyle w:val="Default"/>
        <w:spacing w:line="360" w:lineRule="auto"/>
        <w:jc w:val="both"/>
        <w:rPr>
          <w:color w:val="auto"/>
          <w:sz w:val="18"/>
          <w:szCs w:val="18"/>
        </w:rPr>
      </w:pPr>
      <w:r w:rsidRPr="00A10480">
        <w:rPr>
          <w:b/>
          <w:bCs/>
          <w:color w:val="auto"/>
          <w:sz w:val="18"/>
          <w:szCs w:val="18"/>
        </w:rPr>
        <w:t>Method</w:t>
      </w:r>
      <w:r w:rsidR="004B4D0C" w:rsidRPr="00A10480">
        <w:rPr>
          <w:b/>
          <w:bCs/>
          <w:color w:val="auto"/>
          <w:sz w:val="18"/>
          <w:szCs w:val="18"/>
        </w:rPr>
        <w:t xml:space="preserve">: </w:t>
      </w:r>
      <w:r w:rsidR="00AA6223" w:rsidRPr="00A10480">
        <w:rPr>
          <w:color w:val="auto"/>
          <w:sz w:val="18"/>
          <w:szCs w:val="18"/>
        </w:rPr>
        <w:t>A short study was conducted on 1034 patient</w:t>
      </w:r>
      <w:r w:rsidR="003A5377" w:rsidRPr="00A10480">
        <w:rPr>
          <w:color w:val="auto"/>
          <w:sz w:val="18"/>
          <w:szCs w:val="18"/>
        </w:rPr>
        <w:t>s aged 25-50 years</w:t>
      </w:r>
      <w:r w:rsidR="00AA6223" w:rsidRPr="00A10480">
        <w:rPr>
          <w:color w:val="auto"/>
          <w:sz w:val="18"/>
          <w:szCs w:val="18"/>
        </w:rPr>
        <w:t xml:space="preserve"> attending Government Dental College and Hospital, Ahmedabad in January-February 2016. Community periodontal index of treatment needs (CPITN) index was recorded in these patients as a part of periodontal examination. The patients were categorized into five different groups according to Kuppuswamy scale.</w:t>
      </w:r>
    </w:p>
    <w:p w:rsidR="00096A28" w:rsidRPr="00A10480" w:rsidRDefault="00966299" w:rsidP="00A10480">
      <w:pPr>
        <w:spacing w:after="0" w:line="360" w:lineRule="auto"/>
        <w:jc w:val="both"/>
        <w:rPr>
          <w:rFonts w:ascii="Times New Roman" w:hAnsi="Times New Roman" w:cs="Times New Roman"/>
          <w:sz w:val="18"/>
          <w:szCs w:val="18"/>
        </w:rPr>
      </w:pPr>
      <w:r w:rsidRPr="00A10480">
        <w:rPr>
          <w:rFonts w:ascii="Times New Roman" w:hAnsi="Times New Roman" w:cs="Times New Roman"/>
          <w:b/>
          <w:bCs/>
          <w:sz w:val="18"/>
          <w:szCs w:val="18"/>
        </w:rPr>
        <w:t>Results</w:t>
      </w:r>
      <w:r w:rsidR="00AB65DB">
        <w:rPr>
          <w:rFonts w:ascii="Times New Roman" w:hAnsi="Times New Roman" w:cs="Times New Roman"/>
          <w:sz w:val="18"/>
          <w:szCs w:val="18"/>
        </w:rPr>
        <w:t>:</w:t>
      </w:r>
      <w:r w:rsidR="00A729A0" w:rsidRPr="00A10480">
        <w:rPr>
          <w:rFonts w:ascii="Times New Roman" w:hAnsi="Times New Roman" w:cs="Times New Roman"/>
          <w:sz w:val="18"/>
          <w:szCs w:val="18"/>
        </w:rPr>
        <w:t>A total of 280</w:t>
      </w:r>
      <w:r w:rsidR="00AA6223" w:rsidRPr="00A10480">
        <w:rPr>
          <w:rFonts w:ascii="Times New Roman" w:hAnsi="Times New Roman" w:cs="Times New Roman"/>
          <w:sz w:val="18"/>
          <w:szCs w:val="18"/>
        </w:rPr>
        <w:t xml:space="preserve"> patients belonged to LOWER class (V) a</w:t>
      </w:r>
      <w:r w:rsidR="008C1E65" w:rsidRPr="00A10480">
        <w:rPr>
          <w:rFonts w:ascii="Times New Roman" w:hAnsi="Times New Roman" w:cs="Times New Roman"/>
          <w:sz w:val="18"/>
          <w:szCs w:val="18"/>
        </w:rPr>
        <w:t>nd had a mean CPI score of 3.08</w:t>
      </w:r>
      <w:r w:rsidR="00AA6223" w:rsidRPr="00A10480">
        <w:rPr>
          <w:rFonts w:ascii="Times New Roman" w:hAnsi="Times New Roman" w:cs="Times New Roman"/>
          <w:sz w:val="18"/>
          <w:szCs w:val="18"/>
        </w:rPr>
        <w:t>.</w:t>
      </w:r>
      <w:r w:rsidR="009633D6" w:rsidRPr="00A10480">
        <w:rPr>
          <w:rFonts w:ascii="Times New Roman" w:hAnsi="Times New Roman" w:cs="Times New Roman"/>
          <w:sz w:val="18"/>
          <w:szCs w:val="18"/>
        </w:rPr>
        <w:t>A total of 495</w:t>
      </w:r>
      <w:r w:rsidR="00AA6223" w:rsidRPr="00A10480">
        <w:rPr>
          <w:rFonts w:ascii="Times New Roman" w:hAnsi="Times New Roman" w:cs="Times New Roman"/>
          <w:sz w:val="18"/>
          <w:szCs w:val="18"/>
        </w:rPr>
        <w:t xml:space="preserve"> patients belonged to UPPER-LOWER class (IV) </w:t>
      </w:r>
      <w:r w:rsidR="008C1E65" w:rsidRPr="00A10480">
        <w:rPr>
          <w:rFonts w:ascii="Times New Roman" w:hAnsi="Times New Roman" w:cs="Times New Roman"/>
          <w:sz w:val="18"/>
          <w:szCs w:val="18"/>
        </w:rPr>
        <w:t>and had a mean CPI score of 2.5</w:t>
      </w:r>
      <w:r w:rsidR="009633D6" w:rsidRPr="00A10480">
        <w:rPr>
          <w:rFonts w:ascii="Times New Roman" w:hAnsi="Times New Roman" w:cs="Times New Roman"/>
          <w:sz w:val="18"/>
          <w:szCs w:val="18"/>
        </w:rPr>
        <w:t>. A total of 172</w:t>
      </w:r>
      <w:r w:rsidR="00AA6223" w:rsidRPr="00A10480">
        <w:rPr>
          <w:rFonts w:ascii="Times New Roman" w:hAnsi="Times New Roman" w:cs="Times New Roman"/>
          <w:sz w:val="18"/>
          <w:szCs w:val="18"/>
        </w:rPr>
        <w:t xml:space="preserve"> patients belonged to MIDDLE class (III) and had a mean C</w:t>
      </w:r>
      <w:r w:rsidR="004B4D0C" w:rsidRPr="00A10480">
        <w:rPr>
          <w:rFonts w:ascii="Times New Roman" w:hAnsi="Times New Roman" w:cs="Times New Roman"/>
          <w:sz w:val="18"/>
          <w:szCs w:val="18"/>
        </w:rPr>
        <w:t xml:space="preserve">PI score of 2.15 and </w:t>
      </w:r>
      <w:r w:rsidR="009633D6" w:rsidRPr="00A10480">
        <w:rPr>
          <w:rFonts w:ascii="Times New Roman" w:hAnsi="Times New Roman" w:cs="Times New Roman"/>
          <w:sz w:val="18"/>
          <w:szCs w:val="18"/>
        </w:rPr>
        <w:t>122</w:t>
      </w:r>
      <w:r w:rsidR="00AA6223" w:rsidRPr="00A10480">
        <w:rPr>
          <w:rFonts w:ascii="Times New Roman" w:hAnsi="Times New Roman" w:cs="Times New Roman"/>
          <w:sz w:val="18"/>
          <w:szCs w:val="18"/>
        </w:rPr>
        <w:t xml:space="preserve"> patients belonged to UPPER-MIDDLE class (II) and had a mean CPI score of 1.5. A total of 6 patients belonged to UPPER class (I) and had a mean CPI score of 1.25</w:t>
      </w:r>
    </w:p>
    <w:p w:rsidR="00096A28" w:rsidRPr="00A10480" w:rsidRDefault="00A55BC9" w:rsidP="00A10480">
      <w:pPr>
        <w:spacing w:after="0" w:line="360" w:lineRule="auto"/>
        <w:jc w:val="both"/>
        <w:rPr>
          <w:rFonts w:ascii="Times New Roman" w:hAnsi="Times New Roman" w:cs="Times New Roman"/>
          <w:sz w:val="18"/>
          <w:szCs w:val="18"/>
        </w:rPr>
      </w:pPr>
      <w:r w:rsidRPr="00A10480">
        <w:rPr>
          <w:rFonts w:ascii="Times New Roman" w:hAnsi="Times New Roman" w:cs="Times New Roman"/>
          <w:b/>
          <w:sz w:val="18"/>
          <w:szCs w:val="18"/>
        </w:rPr>
        <w:t>Conclusion</w:t>
      </w:r>
      <w:r w:rsidRPr="00A10480">
        <w:rPr>
          <w:rFonts w:ascii="Times New Roman" w:hAnsi="Times New Roman" w:cs="Times New Roman"/>
          <w:sz w:val="18"/>
          <w:szCs w:val="18"/>
        </w:rPr>
        <w:t>:</w:t>
      </w:r>
      <w:r w:rsidR="00AA6223" w:rsidRPr="00A10480">
        <w:rPr>
          <w:rFonts w:ascii="Times New Roman" w:hAnsi="Times New Roman" w:cs="Times New Roman"/>
          <w:sz w:val="18"/>
          <w:szCs w:val="18"/>
        </w:rPr>
        <w:t xml:space="preserve"> There is a discernible evidence or association between the periodontal status and the socioeconomic status of an individual. A person of a lower socioeconomic status has a higher risk of periodontal destruction than the person of a higher status.</w:t>
      </w:r>
    </w:p>
    <w:p w:rsidR="00716EC9" w:rsidRPr="00A10480" w:rsidRDefault="00B501D4" w:rsidP="00A10480">
      <w:pPr>
        <w:pBdr>
          <w:bottom w:val="single" w:sz="6" w:space="1" w:color="auto"/>
        </w:pBdr>
        <w:autoSpaceDE w:val="0"/>
        <w:autoSpaceDN w:val="0"/>
        <w:adjustRightInd w:val="0"/>
        <w:spacing w:after="0" w:line="360" w:lineRule="auto"/>
        <w:jc w:val="both"/>
        <w:rPr>
          <w:rFonts w:ascii="Times New Roman" w:hAnsi="Times New Roman" w:cs="Times New Roman"/>
          <w:sz w:val="18"/>
          <w:szCs w:val="18"/>
        </w:rPr>
      </w:pPr>
      <w:r w:rsidRPr="00A10480">
        <w:rPr>
          <w:rFonts w:ascii="Times New Roman" w:hAnsi="Times New Roman" w:cs="Times New Roman"/>
          <w:b/>
          <w:sz w:val="18"/>
          <w:szCs w:val="18"/>
        </w:rPr>
        <w:t>K</w:t>
      </w:r>
      <w:r w:rsidR="00AB65DB" w:rsidRPr="00A10480">
        <w:rPr>
          <w:rFonts w:ascii="Times New Roman" w:hAnsi="Times New Roman" w:cs="Times New Roman"/>
          <w:b/>
          <w:sz w:val="18"/>
          <w:szCs w:val="18"/>
        </w:rPr>
        <w:t>ey words</w:t>
      </w:r>
      <w:r w:rsidR="00AB65DB">
        <w:rPr>
          <w:rFonts w:ascii="Times New Roman" w:hAnsi="Times New Roman" w:cs="Times New Roman"/>
          <w:b/>
          <w:sz w:val="18"/>
          <w:szCs w:val="18"/>
        </w:rPr>
        <w:t xml:space="preserve"> : </w:t>
      </w:r>
      <w:r w:rsidR="00AB65DB" w:rsidRPr="00A10480">
        <w:rPr>
          <w:rFonts w:ascii="Times New Roman" w:hAnsi="Times New Roman" w:cs="Times New Roman"/>
          <w:b/>
          <w:sz w:val="18"/>
          <w:szCs w:val="18"/>
        </w:rPr>
        <w:t xml:space="preserve"> </w:t>
      </w:r>
      <w:r w:rsidR="00AA6223" w:rsidRPr="00A10480">
        <w:rPr>
          <w:rFonts w:ascii="Times New Roman" w:hAnsi="Times New Roman" w:cs="Times New Roman"/>
          <w:sz w:val="18"/>
          <w:szCs w:val="18"/>
        </w:rPr>
        <w:t>Socioeconomic status</w:t>
      </w:r>
      <w:r w:rsidRPr="00A10480">
        <w:rPr>
          <w:rFonts w:ascii="Times New Roman" w:hAnsi="Times New Roman" w:cs="Times New Roman"/>
          <w:sz w:val="18"/>
          <w:szCs w:val="18"/>
        </w:rPr>
        <w:t>;</w:t>
      </w:r>
      <w:r w:rsidR="00AA6223" w:rsidRPr="00A10480">
        <w:rPr>
          <w:rFonts w:ascii="Times New Roman" w:hAnsi="Times New Roman" w:cs="Times New Roman"/>
          <w:sz w:val="18"/>
          <w:szCs w:val="18"/>
        </w:rPr>
        <w:t xml:space="preserve"> Community periodontal index of treatment needs (CPITN) index</w:t>
      </w:r>
      <w:r w:rsidR="00B22B30" w:rsidRPr="00A10480">
        <w:rPr>
          <w:rFonts w:ascii="Times New Roman" w:hAnsi="Times New Roman" w:cs="Times New Roman"/>
          <w:sz w:val="18"/>
          <w:szCs w:val="18"/>
        </w:rPr>
        <w:t xml:space="preserve">; </w:t>
      </w:r>
      <w:r w:rsidR="00AA6223" w:rsidRPr="00A10480">
        <w:rPr>
          <w:rFonts w:ascii="Times New Roman" w:hAnsi="Times New Roman" w:cs="Times New Roman"/>
          <w:sz w:val="18"/>
          <w:szCs w:val="18"/>
        </w:rPr>
        <w:t>Kuppuswamy scale</w:t>
      </w:r>
      <w:r w:rsidR="00B22B30" w:rsidRPr="00A10480">
        <w:rPr>
          <w:rFonts w:ascii="Times New Roman" w:hAnsi="Times New Roman" w:cs="Times New Roman"/>
          <w:sz w:val="18"/>
          <w:szCs w:val="18"/>
        </w:rPr>
        <w:t>; periodontal</w:t>
      </w:r>
      <w:r w:rsidRPr="00A10480">
        <w:rPr>
          <w:rFonts w:ascii="Times New Roman" w:hAnsi="Times New Roman" w:cs="Times New Roman"/>
          <w:sz w:val="18"/>
          <w:szCs w:val="18"/>
        </w:rPr>
        <w:t xml:space="preserve"> inflammation</w:t>
      </w:r>
      <w:r w:rsidR="00FF6A08" w:rsidRPr="00A10480">
        <w:rPr>
          <w:rFonts w:ascii="Times New Roman" w:hAnsi="Times New Roman" w:cs="Times New Roman"/>
          <w:sz w:val="18"/>
          <w:szCs w:val="18"/>
        </w:rPr>
        <w:t xml:space="preserve">; </w:t>
      </w:r>
      <w:r w:rsidR="005C57EB" w:rsidRPr="00A10480">
        <w:rPr>
          <w:rFonts w:ascii="Times New Roman" w:hAnsi="Times New Roman" w:cs="Times New Roman"/>
          <w:sz w:val="18"/>
          <w:szCs w:val="18"/>
        </w:rPr>
        <w:t xml:space="preserve">smokeless </w:t>
      </w:r>
      <w:r w:rsidR="00FF6A08" w:rsidRPr="00A10480">
        <w:rPr>
          <w:rFonts w:ascii="Times New Roman" w:hAnsi="Times New Roman" w:cs="Times New Roman"/>
          <w:sz w:val="18"/>
          <w:szCs w:val="18"/>
        </w:rPr>
        <w:t>tobacco</w:t>
      </w:r>
    </w:p>
    <w:p w:rsidR="00BE74E7" w:rsidRDefault="00BE74E7" w:rsidP="00A10480">
      <w:pPr>
        <w:autoSpaceDE w:val="0"/>
        <w:autoSpaceDN w:val="0"/>
        <w:adjustRightInd w:val="0"/>
        <w:spacing w:after="0" w:line="360" w:lineRule="auto"/>
        <w:jc w:val="both"/>
        <w:rPr>
          <w:rFonts w:ascii="Times New Roman" w:hAnsi="Times New Roman" w:cs="Times New Roman"/>
          <w:b/>
          <w:sz w:val="20"/>
          <w:szCs w:val="20"/>
        </w:rPr>
        <w:sectPr w:rsidR="00BE74E7" w:rsidSect="00BE74E7">
          <w:type w:val="continuous"/>
          <w:pgSz w:w="12240" w:h="15840"/>
          <w:pgMar w:top="1440" w:right="1440" w:bottom="1440" w:left="1440" w:header="720" w:footer="720" w:gutter="0"/>
          <w:cols w:space="720"/>
          <w:docGrid w:linePitch="360"/>
        </w:sectPr>
      </w:pPr>
    </w:p>
    <w:p w:rsidR="00A10480" w:rsidRPr="00A10480" w:rsidRDefault="00A10480" w:rsidP="00A10480">
      <w:pPr>
        <w:autoSpaceDE w:val="0"/>
        <w:autoSpaceDN w:val="0"/>
        <w:adjustRightInd w:val="0"/>
        <w:spacing w:after="0" w:line="360" w:lineRule="auto"/>
        <w:jc w:val="both"/>
        <w:rPr>
          <w:rFonts w:ascii="Times New Roman" w:hAnsi="Times New Roman" w:cs="Times New Roman"/>
          <w:b/>
          <w:sz w:val="20"/>
          <w:szCs w:val="20"/>
        </w:rPr>
      </w:pPr>
    </w:p>
    <w:p w:rsidR="0006045E" w:rsidRPr="00A10480" w:rsidRDefault="00981C4D"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b/>
          <w:sz w:val="20"/>
          <w:szCs w:val="20"/>
        </w:rPr>
        <w:t>Introduction:</w:t>
      </w:r>
    </w:p>
    <w:p w:rsidR="00AB65DB" w:rsidRDefault="00EB7410"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Socioeconomic status (SES) is defined as a measure of one’s combined economi</w:t>
      </w:r>
      <w:r w:rsidR="004C65BA" w:rsidRPr="00A10480">
        <w:rPr>
          <w:rFonts w:ascii="Times New Roman" w:hAnsi="Times New Roman" w:cs="Times New Roman"/>
          <w:sz w:val="20"/>
          <w:szCs w:val="20"/>
          <w:lang w:bidi="gu-IN"/>
        </w:rPr>
        <w:t xml:space="preserve">c and social </w:t>
      </w:r>
      <w:r w:rsidR="003C1CCA" w:rsidRPr="00A10480">
        <w:rPr>
          <w:rFonts w:ascii="Times New Roman" w:hAnsi="Times New Roman" w:cs="Times New Roman"/>
          <w:sz w:val="20"/>
          <w:szCs w:val="20"/>
          <w:lang w:bidi="gu-IN"/>
        </w:rPr>
        <w:t>status (</w:t>
      </w:r>
      <w:r w:rsidRPr="00A10480">
        <w:rPr>
          <w:rFonts w:ascii="Times New Roman" w:hAnsi="Times New Roman" w:cs="Times New Roman"/>
          <w:sz w:val="20"/>
          <w:szCs w:val="20"/>
          <w:lang w:bidi="gu-IN"/>
        </w:rPr>
        <w:t>Galobardes et al. 2006)</w:t>
      </w:r>
      <w:r w:rsidR="003C1CCA" w:rsidRPr="00A10480">
        <w:rPr>
          <w:rFonts w:ascii="Times New Roman" w:hAnsi="Times New Roman" w:cs="Times New Roman"/>
          <w:sz w:val="20"/>
          <w:szCs w:val="20"/>
          <w:vertAlign w:val="superscript"/>
          <w:lang w:bidi="gu-IN"/>
        </w:rPr>
        <w:t>1</w:t>
      </w:r>
      <w:r w:rsidRPr="00A10480">
        <w:rPr>
          <w:rFonts w:ascii="Times New Roman" w:hAnsi="Times New Roman" w:cs="Times New Roman"/>
          <w:sz w:val="20"/>
          <w:szCs w:val="20"/>
          <w:lang w:bidi="gu-IN"/>
        </w:rPr>
        <w:t>.</w:t>
      </w:r>
      <w:r w:rsidR="00F77D04" w:rsidRPr="00A10480">
        <w:rPr>
          <w:rFonts w:ascii="Times New Roman" w:hAnsi="Times New Roman" w:cs="Times New Roman"/>
          <w:sz w:val="20"/>
          <w:szCs w:val="20"/>
          <w:lang w:bidi="gu-IN"/>
        </w:rPr>
        <w:t>Generally, in sociology Socioeconomic status</w:t>
      </w:r>
      <w:r w:rsidR="00510861" w:rsidRPr="00A10480">
        <w:rPr>
          <w:rFonts w:ascii="Times New Roman" w:hAnsi="Times New Roman" w:cs="Times New Roman"/>
          <w:sz w:val="20"/>
          <w:szCs w:val="20"/>
          <w:lang w:bidi="gu-IN"/>
        </w:rPr>
        <w:t xml:space="preserve"> is viewed as a latent construct and</w:t>
      </w:r>
      <w:r w:rsidR="00F77D04" w:rsidRPr="00A10480">
        <w:rPr>
          <w:rFonts w:ascii="Times New Roman" w:hAnsi="Times New Roman" w:cs="Times New Roman"/>
          <w:sz w:val="20"/>
          <w:szCs w:val="20"/>
          <w:lang w:bidi="gu-IN"/>
        </w:rPr>
        <w:t xml:space="preserve"> it is evaluated by considering the education, monthly income and occupation or the employment of the individual or some form of variation amongst </w:t>
      </w:r>
    </w:p>
    <w:p w:rsidR="00AB65DB" w:rsidRDefault="00AB65DB" w:rsidP="00A10480">
      <w:pPr>
        <w:autoSpaceDE w:val="0"/>
        <w:autoSpaceDN w:val="0"/>
        <w:adjustRightInd w:val="0"/>
        <w:spacing w:after="0" w:line="360" w:lineRule="auto"/>
        <w:jc w:val="both"/>
        <w:rPr>
          <w:rFonts w:ascii="Times New Roman" w:hAnsi="Times New Roman" w:cs="Times New Roman"/>
          <w:sz w:val="20"/>
          <w:szCs w:val="20"/>
          <w:lang w:bidi="gu-IN"/>
        </w:rPr>
      </w:pPr>
    </w:p>
    <w:p w:rsidR="00AB65DB" w:rsidRDefault="00AB65DB" w:rsidP="00A10480">
      <w:pPr>
        <w:autoSpaceDE w:val="0"/>
        <w:autoSpaceDN w:val="0"/>
        <w:adjustRightInd w:val="0"/>
        <w:spacing w:after="0" w:line="360" w:lineRule="auto"/>
        <w:jc w:val="both"/>
        <w:rPr>
          <w:rFonts w:ascii="Times New Roman" w:hAnsi="Times New Roman" w:cs="Times New Roman"/>
          <w:sz w:val="20"/>
          <w:szCs w:val="20"/>
          <w:lang w:bidi="gu-IN"/>
        </w:rPr>
      </w:pPr>
    </w:p>
    <w:p w:rsidR="00CE17E6" w:rsidRPr="00A10480" w:rsidRDefault="00F77D04"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these factors</w:t>
      </w:r>
      <w:r w:rsidR="00510861" w:rsidRPr="00A10480">
        <w:rPr>
          <w:rFonts w:ascii="Times New Roman" w:hAnsi="Times New Roman" w:cs="Times New Roman"/>
          <w:sz w:val="20"/>
          <w:szCs w:val="20"/>
          <w:lang w:bidi="gu-IN"/>
        </w:rPr>
        <w:t xml:space="preserve">. </w:t>
      </w:r>
      <w:r w:rsidR="00370727" w:rsidRPr="00A10480">
        <w:rPr>
          <w:rFonts w:ascii="Times New Roman" w:hAnsi="Times New Roman" w:cs="Times New Roman"/>
          <w:sz w:val="20"/>
          <w:szCs w:val="20"/>
          <w:lang w:bidi="gu-IN"/>
        </w:rPr>
        <w:t>Several factors such as genetic (age), co-morbidity (diabetes mellitus, DM) and lifestyle (smoking) have been identified to possess a risk for periodontal diseases in published studies (P</w:t>
      </w:r>
      <w:r w:rsidR="00571DAC" w:rsidRPr="00A10480">
        <w:rPr>
          <w:rFonts w:ascii="Times New Roman" w:hAnsi="Times New Roman" w:cs="Times New Roman"/>
          <w:sz w:val="20"/>
          <w:szCs w:val="20"/>
          <w:lang w:bidi="gu-IN"/>
        </w:rPr>
        <w:t>age &amp; Beck 1997, Albandar 2002)</w:t>
      </w:r>
      <w:r w:rsidR="003C1CCA" w:rsidRPr="00A10480">
        <w:rPr>
          <w:rFonts w:ascii="Times New Roman" w:hAnsi="Times New Roman" w:cs="Times New Roman"/>
          <w:sz w:val="20"/>
          <w:szCs w:val="20"/>
          <w:vertAlign w:val="superscript"/>
          <w:lang w:bidi="gu-IN"/>
        </w:rPr>
        <w:t>2</w:t>
      </w:r>
      <w:r w:rsidR="004C65BA" w:rsidRPr="00A10480">
        <w:rPr>
          <w:rFonts w:ascii="Times New Roman" w:hAnsi="Times New Roman" w:cs="Times New Roman"/>
          <w:sz w:val="20"/>
          <w:szCs w:val="20"/>
          <w:vertAlign w:val="superscript"/>
          <w:lang w:bidi="gu-IN"/>
        </w:rPr>
        <w:t>,</w:t>
      </w:r>
      <w:r w:rsidR="003B69A8" w:rsidRPr="00A10480">
        <w:rPr>
          <w:rFonts w:ascii="Times New Roman" w:hAnsi="Times New Roman" w:cs="Times New Roman"/>
          <w:sz w:val="20"/>
          <w:szCs w:val="20"/>
          <w:vertAlign w:val="superscript"/>
          <w:lang w:bidi="gu-IN"/>
        </w:rPr>
        <w:t>3, 4</w:t>
      </w:r>
      <w:r w:rsidR="00370727" w:rsidRPr="00A10480">
        <w:rPr>
          <w:rFonts w:ascii="Times New Roman" w:hAnsi="Times New Roman" w:cs="Times New Roman"/>
          <w:sz w:val="20"/>
          <w:szCs w:val="20"/>
          <w:lang w:bidi="gu-IN"/>
        </w:rPr>
        <w:t>.</w:t>
      </w:r>
    </w:p>
    <w:p w:rsidR="00510861" w:rsidRPr="00A10480" w:rsidRDefault="003C1CCA"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Oral health has</w:t>
      </w:r>
      <w:r w:rsidR="00510861" w:rsidRPr="00A10480">
        <w:rPr>
          <w:rFonts w:ascii="Times New Roman" w:hAnsi="Times New Roman" w:cs="Times New Roman"/>
          <w:sz w:val="20"/>
          <w:szCs w:val="20"/>
          <w:lang w:bidi="gu-IN"/>
        </w:rPr>
        <w:t xml:space="preserve"> always </w:t>
      </w:r>
      <w:r w:rsidRPr="00A10480">
        <w:rPr>
          <w:rFonts w:ascii="Times New Roman" w:hAnsi="Times New Roman" w:cs="Times New Roman"/>
          <w:sz w:val="20"/>
          <w:szCs w:val="20"/>
          <w:lang w:bidi="gu-IN"/>
        </w:rPr>
        <w:t xml:space="preserve">been </w:t>
      </w:r>
      <w:r w:rsidR="00510861" w:rsidRPr="00A10480">
        <w:rPr>
          <w:rFonts w:ascii="Times New Roman" w:hAnsi="Times New Roman" w:cs="Times New Roman"/>
          <w:sz w:val="20"/>
          <w:szCs w:val="20"/>
          <w:lang w:bidi="gu-IN"/>
        </w:rPr>
        <w:t xml:space="preserve">an inseparable part of general health and several studies in the past have </w:t>
      </w:r>
      <w:r w:rsidR="00510861" w:rsidRPr="00A10480">
        <w:rPr>
          <w:rFonts w:ascii="Times New Roman" w:hAnsi="Times New Roman" w:cs="Times New Roman"/>
          <w:sz w:val="20"/>
          <w:szCs w:val="20"/>
          <w:lang w:bidi="gu-IN"/>
        </w:rPr>
        <w:lastRenderedPageBreak/>
        <w:t>revealed an association between socioeconomic factors and oral health</w:t>
      </w:r>
      <w:r w:rsidR="003B69A8" w:rsidRPr="00A10480">
        <w:rPr>
          <w:rFonts w:ascii="Times New Roman" w:hAnsi="Times New Roman" w:cs="Times New Roman"/>
          <w:sz w:val="20"/>
          <w:szCs w:val="20"/>
          <w:vertAlign w:val="superscript"/>
          <w:lang w:bidi="gu-IN"/>
        </w:rPr>
        <w:t>5</w:t>
      </w:r>
      <w:r w:rsidR="00B06B4A" w:rsidRPr="00A10480">
        <w:rPr>
          <w:rFonts w:ascii="Times New Roman" w:hAnsi="Times New Roman" w:cs="Times New Roman"/>
          <w:sz w:val="20"/>
          <w:szCs w:val="20"/>
          <w:vertAlign w:val="superscript"/>
          <w:lang w:bidi="gu-IN"/>
        </w:rPr>
        <w:t>, 6, 7, 8, 9</w:t>
      </w:r>
      <w:r w:rsidR="00510861" w:rsidRPr="00A10480">
        <w:rPr>
          <w:rFonts w:ascii="Times New Roman" w:hAnsi="Times New Roman" w:cs="Times New Roman"/>
          <w:sz w:val="20"/>
          <w:szCs w:val="20"/>
          <w:lang w:bidi="gu-IN"/>
        </w:rPr>
        <w:t xml:space="preserve">. The literature </w:t>
      </w:r>
      <w:r w:rsidRPr="00A10480">
        <w:rPr>
          <w:rFonts w:ascii="Times New Roman" w:hAnsi="Times New Roman" w:cs="Times New Roman"/>
          <w:sz w:val="20"/>
          <w:szCs w:val="20"/>
          <w:lang w:bidi="gu-IN"/>
        </w:rPr>
        <w:t>concerning the association between the socioeconomic variables and the periodontal status of individuals in India is scanty</w:t>
      </w:r>
      <w:r w:rsidR="00510861" w:rsidRPr="00A10480">
        <w:rPr>
          <w:rFonts w:ascii="Times New Roman" w:hAnsi="Times New Roman" w:cs="Times New Roman"/>
          <w:sz w:val="20"/>
          <w:szCs w:val="20"/>
          <w:lang w:bidi="gu-IN"/>
        </w:rPr>
        <w:t xml:space="preserve">. Hence, the present study was taken up as an attempt to assess the relationship between oral health status and socioeconomic factors among the patients attending the outpatient department of </w:t>
      </w:r>
      <w:r w:rsidR="00863A3B" w:rsidRPr="00A10480">
        <w:rPr>
          <w:rFonts w:ascii="Times New Roman" w:hAnsi="Times New Roman" w:cs="Times New Roman"/>
          <w:sz w:val="20"/>
          <w:szCs w:val="20"/>
          <w:lang w:bidi="gu-IN"/>
        </w:rPr>
        <w:t>Government Dental College and Hospital, Ahmedabad</w:t>
      </w:r>
      <w:r w:rsidR="00510861" w:rsidRPr="00A10480">
        <w:rPr>
          <w:rFonts w:ascii="Times New Roman" w:hAnsi="Times New Roman" w:cs="Times New Roman"/>
          <w:sz w:val="20"/>
          <w:szCs w:val="20"/>
          <w:lang w:bidi="gu-IN"/>
        </w:rPr>
        <w:t>.</w:t>
      </w:r>
    </w:p>
    <w:p w:rsidR="00981C4D" w:rsidRPr="00A10480" w:rsidRDefault="00981C4D" w:rsidP="00A10480">
      <w:pPr>
        <w:autoSpaceDE w:val="0"/>
        <w:autoSpaceDN w:val="0"/>
        <w:adjustRightInd w:val="0"/>
        <w:spacing w:after="0"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Materials and methods:</w:t>
      </w:r>
    </w:p>
    <w:p w:rsidR="00CE17E6" w:rsidRPr="00A10480" w:rsidRDefault="00CE17E6" w:rsidP="00A10480">
      <w:pPr>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 s</w:t>
      </w:r>
      <w:r w:rsidR="00F77D04" w:rsidRPr="00A10480">
        <w:rPr>
          <w:rFonts w:ascii="Times New Roman" w:hAnsi="Times New Roman" w:cs="Times New Roman"/>
          <w:sz w:val="20"/>
          <w:szCs w:val="20"/>
        </w:rPr>
        <w:t>hort study was conducted on 1069</w:t>
      </w:r>
      <w:r w:rsidRPr="00A10480">
        <w:rPr>
          <w:rFonts w:ascii="Times New Roman" w:hAnsi="Times New Roman" w:cs="Times New Roman"/>
          <w:sz w:val="20"/>
          <w:szCs w:val="20"/>
        </w:rPr>
        <w:t xml:space="preserve"> patien</w:t>
      </w:r>
      <w:r w:rsidR="003A5377" w:rsidRPr="00A10480">
        <w:rPr>
          <w:rFonts w:ascii="Times New Roman" w:hAnsi="Times New Roman" w:cs="Times New Roman"/>
          <w:sz w:val="20"/>
          <w:szCs w:val="20"/>
        </w:rPr>
        <w:t>ts aged 25-50 years</w:t>
      </w:r>
      <w:r w:rsidR="00BB55B3" w:rsidRPr="00A10480">
        <w:rPr>
          <w:rFonts w:ascii="Times New Roman" w:hAnsi="Times New Roman" w:cs="Times New Roman"/>
          <w:sz w:val="20"/>
          <w:szCs w:val="20"/>
        </w:rPr>
        <w:t xml:space="preserve"> attending </w:t>
      </w:r>
      <w:r w:rsidRPr="00A10480">
        <w:rPr>
          <w:rFonts w:ascii="Times New Roman" w:hAnsi="Times New Roman" w:cs="Times New Roman"/>
          <w:sz w:val="20"/>
          <w:szCs w:val="20"/>
        </w:rPr>
        <w:t>Government Dental College and Hospital, Ahmedabad in January-February 2016. Community periodontal index of treatment needs (CPITN) index was recorded in these patients as a part of periodontal examination. The patients were categorized into five different socioeconomic groups according to Kuppuswamy scale.</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The periodontal status and treatment needs were assessed by means of the CPITN system. In order to secure a fully objective evaluation of the periodontium, the recordings were based on the highest treatment need observed after examination of all the remaining teeth in a sextant.</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CPITN recordings were made for sextants containing at least two functional teeth, using the following code numbers:</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Code 0 = healthy periodontal tissue (H)</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Code 1 = bleeding after probing (B)</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lastRenderedPageBreak/>
        <w:t>Code 2 = supra- or subgingival calculus and/or overhang(s) of filling(s) or crown(s) (C)</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Code 3 = pathologic pocket(s) 4 or 5 mm (Pi)</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Code 4 = pathologic pocket(s) &gt; 6 mm (P2)</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X = excluded sextant (X)</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According to the highest code number recorded, the subjects and sextants were classified into the following treatment need categories:</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0 = no treatment needed (code 0)</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TN 1 = oral hygiene instruction (codes 1, 2, 3, and 4)</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TN 2 = oral hygiene instruction and prophylaxis (codes 2, 3, and 4)</w:t>
      </w:r>
    </w:p>
    <w:p w:rsidR="00891C49" w:rsidRPr="00A10480" w:rsidRDefault="00891C49"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TN 3 = oral hygiene instruction, prophylaxis, and complex treatment (code 4)</w:t>
      </w:r>
    </w:p>
    <w:p w:rsidR="00CE17E6" w:rsidRPr="00A10480" w:rsidRDefault="00F77D04"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The community based stratification is the basis of all the community bas</w:t>
      </w:r>
      <w:r w:rsidR="00EA6353" w:rsidRPr="00A10480">
        <w:rPr>
          <w:rFonts w:ascii="Times New Roman" w:hAnsi="Times New Roman" w:cs="Times New Roman"/>
          <w:sz w:val="20"/>
          <w:szCs w:val="20"/>
          <w:lang w:bidi="gu-IN"/>
        </w:rPr>
        <w:t>ed studies and the key to evaluate the utilization of health services, amenities and purchasibility</w:t>
      </w:r>
      <w:r w:rsidR="00CE17E6" w:rsidRPr="00A10480">
        <w:rPr>
          <w:rFonts w:ascii="Times New Roman" w:hAnsi="Times New Roman" w:cs="Times New Roman"/>
          <w:sz w:val="20"/>
          <w:szCs w:val="20"/>
          <w:lang w:bidi="gu-IN"/>
        </w:rPr>
        <w:t>. When it is taken as a summ</w:t>
      </w:r>
      <w:r w:rsidR="00BB55B3" w:rsidRPr="00A10480">
        <w:rPr>
          <w:rFonts w:ascii="Times New Roman" w:hAnsi="Times New Roman" w:cs="Times New Roman"/>
          <w:sz w:val="20"/>
          <w:szCs w:val="20"/>
          <w:lang w:bidi="gu-IN"/>
        </w:rPr>
        <w:t xml:space="preserve">ation of </w:t>
      </w:r>
      <w:r w:rsidR="00CE17E6" w:rsidRPr="00A10480">
        <w:rPr>
          <w:rFonts w:ascii="Times New Roman" w:hAnsi="Times New Roman" w:cs="Times New Roman"/>
          <w:sz w:val="20"/>
          <w:szCs w:val="20"/>
          <w:lang w:bidi="gu-IN"/>
        </w:rPr>
        <w:t>education, occupati</w:t>
      </w:r>
      <w:r w:rsidR="00BB55B3" w:rsidRPr="00A10480">
        <w:rPr>
          <w:rFonts w:ascii="Times New Roman" w:hAnsi="Times New Roman" w:cs="Times New Roman"/>
          <w:sz w:val="20"/>
          <w:szCs w:val="20"/>
          <w:lang w:bidi="gu-IN"/>
        </w:rPr>
        <w:t xml:space="preserve">on, and income, it reflects the </w:t>
      </w:r>
      <w:r w:rsidR="00CE17E6" w:rsidRPr="00A10480">
        <w:rPr>
          <w:rFonts w:ascii="Times New Roman" w:hAnsi="Times New Roman" w:cs="Times New Roman"/>
          <w:sz w:val="20"/>
          <w:szCs w:val="20"/>
          <w:lang w:bidi="gu-IN"/>
        </w:rPr>
        <w:t xml:space="preserve">value system expected </w:t>
      </w:r>
      <w:r w:rsidR="00BB55B3" w:rsidRPr="00A10480">
        <w:rPr>
          <w:rFonts w:ascii="Times New Roman" w:hAnsi="Times New Roman" w:cs="Times New Roman"/>
          <w:sz w:val="20"/>
          <w:szCs w:val="20"/>
          <w:lang w:bidi="gu-IN"/>
        </w:rPr>
        <w:t xml:space="preserve">for that level of education and </w:t>
      </w:r>
      <w:r w:rsidR="00CE17E6" w:rsidRPr="00A10480">
        <w:rPr>
          <w:rFonts w:ascii="Times New Roman" w:hAnsi="Times New Roman" w:cs="Times New Roman"/>
          <w:sz w:val="20"/>
          <w:szCs w:val="20"/>
          <w:lang w:bidi="gu-IN"/>
        </w:rPr>
        <w:t>occupation. Income is parallel to standard of living.</w:t>
      </w:r>
    </w:p>
    <w:p w:rsidR="00BB55B3" w:rsidRPr="00A10480" w:rsidRDefault="00CE17E6" w:rsidP="00A10480">
      <w:pPr>
        <w:autoSpaceDE w:val="0"/>
        <w:autoSpaceDN w:val="0"/>
        <w:adjustRightInd w:val="0"/>
        <w:spacing w:after="0" w:line="360" w:lineRule="auto"/>
        <w:jc w:val="both"/>
        <w:rPr>
          <w:rFonts w:ascii="Times New Roman" w:hAnsi="Times New Roman" w:cs="Times New Roman"/>
          <w:sz w:val="20"/>
          <w:szCs w:val="20"/>
          <w:lang w:bidi="gu-IN"/>
        </w:rPr>
      </w:pPr>
      <w:r w:rsidRPr="00A10480">
        <w:rPr>
          <w:rFonts w:ascii="Times New Roman" w:hAnsi="Times New Roman" w:cs="Times New Roman"/>
          <w:sz w:val="20"/>
          <w:szCs w:val="20"/>
          <w:lang w:bidi="gu-IN"/>
        </w:rPr>
        <w:t>Socio Economic Status (SES) is established determinantof health. Kuppuswamy’</w:t>
      </w:r>
      <w:r w:rsidR="00BB55B3" w:rsidRPr="00A10480">
        <w:rPr>
          <w:rFonts w:ascii="Times New Roman" w:hAnsi="Times New Roman" w:cs="Times New Roman"/>
          <w:sz w:val="20"/>
          <w:szCs w:val="20"/>
          <w:lang w:bidi="gu-IN"/>
        </w:rPr>
        <w:t>s</w:t>
      </w:r>
      <w:r w:rsidRPr="00A10480">
        <w:rPr>
          <w:rFonts w:ascii="Times New Roman" w:hAnsi="Times New Roman" w:cs="Times New Roman"/>
          <w:sz w:val="20"/>
          <w:szCs w:val="20"/>
          <w:lang w:bidi="gu-IN"/>
        </w:rPr>
        <w:t>socioecon</w:t>
      </w:r>
      <w:r w:rsidR="00BB55B3" w:rsidRPr="00A10480">
        <w:rPr>
          <w:rFonts w:ascii="Times New Roman" w:hAnsi="Times New Roman" w:cs="Times New Roman"/>
          <w:sz w:val="20"/>
          <w:szCs w:val="20"/>
          <w:lang w:bidi="gu-IN"/>
        </w:rPr>
        <w:t xml:space="preserve">omic status is an </w:t>
      </w:r>
      <w:r w:rsidRPr="00A10480">
        <w:rPr>
          <w:rFonts w:ascii="Times New Roman" w:hAnsi="Times New Roman" w:cs="Times New Roman"/>
          <w:sz w:val="20"/>
          <w:szCs w:val="20"/>
          <w:lang w:bidi="gu-IN"/>
        </w:rPr>
        <w:t>important tool in hospit</w:t>
      </w:r>
      <w:r w:rsidR="00BB55B3" w:rsidRPr="00A10480">
        <w:rPr>
          <w:rFonts w:ascii="Times New Roman" w:hAnsi="Times New Roman" w:cs="Times New Roman"/>
          <w:sz w:val="20"/>
          <w:szCs w:val="20"/>
          <w:lang w:bidi="gu-IN"/>
        </w:rPr>
        <w:t xml:space="preserve">al and community-based research </w:t>
      </w:r>
      <w:r w:rsidRPr="00A10480">
        <w:rPr>
          <w:rFonts w:ascii="Times New Roman" w:hAnsi="Times New Roman" w:cs="Times New Roman"/>
          <w:sz w:val="20"/>
          <w:szCs w:val="20"/>
          <w:lang w:bidi="gu-IN"/>
        </w:rPr>
        <w:t>in India, which was originally proposed in 1976.</w:t>
      </w:r>
      <w:r w:rsidR="00BB55B3" w:rsidRPr="00A10480">
        <w:rPr>
          <w:rFonts w:ascii="Times New Roman" w:hAnsi="Times New Roman" w:cs="Times New Roman"/>
          <w:sz w:val="20"/>
          <w:szCs w:val="20"/>
          <w:lang w:bidi="gu-IN"/>
        </w:rPr>
        <w:t xml:space="preserve">Kuppuswamy’s original income groups of family for1976 were based on 1960 as 100 (base). </w:t>
      </w:r>
      <w:r w:rsidR="00EA6353" w:rsidRPr="00A10480">
        <w:rPr>
          <w:rFonts w:ascii="Times New Roman" w:hAnsi="Times New Roman" w:cs="Times New Roman"/>
          <w:sz w:val="20"/>
          <w:szCs w:val="20"/>
          <w:lang w:bidi="gu-IN"/>
        </w:rPr>
        <w:t>C</w:t>
      </w:r>
      <w:r w:rsidR="00BB55B3" w:rsidRPr="00A10480">
        <w:rPr>
          <w:rFonts w:ascii="Times New Roman" w:hAnsi="Times New Roman" w:cs="Times New Roman"/>
          <w:sz w:val="20"/>
          <w:szCs w:val="20"/>
          <w:lang w:bidi="gu-IN"/>
        </w:rPr>
        <w:t xml:space="preserve">urrent income groups = Original family incomegroups of Kuppuswamy (1976) </w:t>
      </w:r>
      <w:r w:rsidR="00BB55B3" w:rsidRPr="00A10480">
        <w:rPr>
          <w:rFonts w:ascii="Times New Roman" w:hAnsi="Times New Roman" w:cs="Times New Roman"/>
          <w:sz w:val="20"/>
          <w:szCs w:val="20"/>
          <w:lang w:bidi="gu-IN"/>
        </w:rPr>
        <w:t></w:t>
      </w:r>
      <w:r w:rsidR="00BB55B3" w:rsidRPr="00A10480">
        <w:rPr>
          <w:rFonts w:ascii="Times New Roman" w:hAnsi="Times New Roman" w:cs="Times New Roman"/>
          <w:sz w:val="20"/>
          <w:szCs w:val="20"/>
          <w:lang w:bidi="gu-IN"/>
        </w:rPr>
        <w:t></w:t>
      </w:r>
      <w:r w:rsidR="00891C49" w:rsidRPr="00A10480">
        <w:rPr>
          <w:rFonts w:ascii="Times New Roman" w:hAnsi="Times New Roman" w:cs="Times New Roman"/>
          <w:sz w:val="20"/>
          <w:szCs w:val="20"/>
          <w:lang w:bidi="gu-IN"/>
        </w:rPr>
        <w:t xml:space="preserve">Current Consumer </w:t>
      </w:r>
      <w:r w:rsidR="00D83DF6" w:rsidRPr="00A10480">
        <w:rPr>
          <w:rFonts w:ascii="Times New Roman" w:hAnsi="Times New Roman" w:cs="Times New Roman"/>
          <w:sz w:val="20"/>
          <w:szCs w:val="20"/>
          <w:lang w:bidi="gu-IN"/>
        </w:rPr>
        <w:t>Price Index =</w:t>
      </w:r>
      <w:r w:rsidR="00BB55B3" w:rsidRPr="00A10480">
        <w:rPr>
          <w:rFonts w:ascii="Times New Roman" w:hAnsi="Times New Roman" w:cs="Times New Roman"/>
          <w:sz w:val="20"/>
          <w:szCs w:val="20"/>
          <w:lang w:bidi="gu-IN"/>
        </w:rPr>
        <w:t>0.0735 (multiplication factor)</w:t>
      </w:r>
      <w:r w:rsidR="00B06B4A" w:rsidRPr="00A10480">
        <w:rPr>
          <w:rFonts w:ascii="Times New Roman" w:hAnsi="Times New Roman" w:cs="Times New Roman"/>
          <w:sz w:val="20"/>
          <w:szCs w:val="20"/>
          <w:vertAlign w:val="superscript"/>
          <w:lang w:bidi="gu-IN"/>
        </w:rPr>
        <w:t>10</w:t>
      </w:r>
      <w:r w:rsidR="00B06B4A" w:rsidRPr="00A10480">
        <w:rPr>
          <w:rFonts w:ascii="Times New Roman" w:hAnsi="Times New Roman" w:cs="Times New Roman"/>
          <w:sz w:val="20"/>
          <w:szCs w:val="20"/>
          <w:lang w:bidi="gu-IN"/>
        </w:rPr>
        <w:t>.</w:t>
      </w:r>
    </w:p>
    <w:p w:rsidR="00A10480" w:rsidRDefault="00A10480" w:rsidP="00A10480">
      <w:pPr>
        <w:autoSpaceDE w:val="0"/>
        <w:autoSpaceDN w:val="0"/>
        <w:adjustRightInd w:val="0"/>
        <w:spacing w:after="0" w:line="360" w:lineRule="auto"/>
        <w:jc w:val="both"/>
        <w:rPr>
          <w:rFonts w:ascii="Times New Roman" w:hAnsi="Times New Roman" w:cs="Times New Roman"/>
          <w:b/>
          <w:bCs/>
          <w:sz w:val="20"/>
          <w:szCs w:val="20"/>
          <w:lang w:bidi="gu-IN"/>
        </w:rPr>
        <w:sectPr w:rsidR="00A10480" w:rsidSect="00A10480">
          <w:type w:val="continuous"/>
          <w:pgSz w:w="12240" w:h="15840"/>
          <w:pgMar w:top="1440" w:right="1440" w:bottom="1440" w:left="1440" w:header="720" w:footer="720" w:gutter="0"/>
          <w:cols w:num="2" w:space="720"/>
          <w:docGrid w:linePitch="360"/>
        </w:sectPr>
      </w:pPr>
    </w:p>
    <w:p w:rsidR="00A10480" w:rsidRDefault="00A10480" w:rsidP="00A10480">
      <w:pPr>
        <w:autoSpaceDE w:val="0"/>
        <w:autoSpaceDN w:val="0"/>
        <w:adjustRightInd w:val="0"/>
        <w:spacing w:after="0" w:line="360" w:lineRule="auto"/>
        <w:jc w:val="both"/>
        <w:rPr>
          <w:rFonts w:ascii="Times New Roman" w:hAnsi="Times New Roman" w:cs="Times New Roman"/>
          <w:b/>
          <w:bCs/>
          <w:sz w:val="20"/>
          <w:szCs w:val="20"/>
          <w:lang w:bidi="gu-IN"/>
        </w:rPr>
      </w:pPr>
    </w:p>
    <w:p w:rsidR="00A10480" w:rsidRDefault="00A10480" w:rsidP="00A10480">
      <w:pPr>
        <w:autoSpaceDE w:val="0"/>
        <w:autoSpaceDN w:val="0"/>
        <w:adjustRightInd w:val="0"/>
        <w:spacing w:after="0" w:line="360" w:lineRule="auto"/>
        <w:jc w:val="both"/>
        <w:rPr>
          <w:rFonts w:ascii="Times New Roman" w:hAnsi="Times New Roman" w:cs="Times New Roman"/>
          <w:b/>
          <w:bCs/>
          <w:sz w:val="20"/>
          <w:szCs w:val="20"/>
          <w:lang w:bidi="gu-IN"/>
        </w:rPr>
      </w:pPr>
    </w:p>
    <w:p w:rsidR="00A10480" w:rsidRDefault="00A10480" w:rsidP="00A10480">
      <w:pPr>
        <w:autoSpaceDE w:val="0"/>
        <w:autoSpaceDN w:val="0"/>
        <w:adjustRightInd w:val="0"/>
        <w:spacing w:after="0" w:line="360" w:lineRule="auto"/>
        <w:jc w:val="both"/>
        <w:rPr>
          <w:rFonts w:ascii="Times New Roman" w:hAnsi="Times New Roman" w:cs="Times New Roman"/>
          <w:b/>
          <w:bCs/>
          <w:sz w:val="20"/>
          <w:szCs w:val="20"/>
          <w:lang w:bidi="gu-IN"/>
        </w:rPr>
      </w:pPr>
    </w:p>
    <w:p w:rsidR="00A10480" w:rsidRDefault="00A10480" w:rsidP="00A10480">
      <w:pPr>
        <w:autoSpaceDE w:val="0"/>
        <w:autoSpaceDN w:val="0"/>
        <w:adjustRightInd w:val="0"/>
        <w:spacing w:after="0" w:line="360" w:lineRule="auto"/>
        <w:jc w:val="both"/>
        <w:rPr>
          <w:rFonts w:ascii="Times New Roman" w:hAnsi="Times New Roman" w:cs="Times New Roman"/>
          <w:b/>
          <w:bCs/>
          <w:sz w:val="20"/>
          <w:szCs w:val="20"/>
          <w:lang w:bidi="gu-IN"/>
        </w:rPr>
      </w:pPr>
    </w:p>
    <w:p w:rsidR="00AB65DB" w:rsidRDefault="00AB65DB" w:rsidP="00A10480">
      <w:pPr>
        <w:autoSpaceDE w:val="0"/>
        <w:autoSpaceDN w:val="0"/>
        <w:adjustRightInd w:val="0"/>
        <w:spacing w:after="0" w:line="360" w:lineRule="auto"/>
        <w:jc w:val="both"/>
        <w:rPr>
          <w:rFonts w:ascii="Times New Roman" w:hAnsi="Times New Roman" w:cs="Times New Roman"/>
          <w:b/>
          <w:bCs/>
          <w:sz w:val="20"/>
          <w:szCs w:val="20"/>
          <w:lang w:bidi="gu-IN"/>
        </w:rPr>
      </w:pPr>
    </w:p>
    <w:p w:rsidR="00A10480" w:rsidRDefault="00A10480" w:rsidP="00A10480">
      <w:pPr>
        <w:autoSpaceDE w:val="0"/>
        <w:autoSpaceDN w:val="0"/>
        <w:adjustRightInd w:val="0"/>
        <w:spacing w:after="0" w:line="360" w:lineRule="auto"/>
        <w:jc w:val="both"/>
        <w:rPr>
          <w:rFonts w:ascii="Times New Roman" w:hAnsi="Times New Roman" w:cs="Times New Roman"/>
          <w:b/>
          <w:bCs/>
          <w:sz w:val="20"/>
          <w:szCs w:val="20"/>
          <w:lang w:bidi="gu-IN"/>
        </w:rPr>
      </w:pPr>
    </w:p>
    <w:p w:rsidR="00BB55B3" w:rsidRPr="00A10480" w:rsidRDefault="00BB55B3" w:rsidP="00A10480">
      <w:pPr>
        <w:autoSpaceDE w:val="0"/>
        <w:autoSpaceDN w:val="0"/>
        <w:adjustRightInd w:val="0"/>
        <w:spacing w:after="0" w:line="360" w:lineRule="auto"/>
        <w:jc w:val="both"/>
        <w:rPr>
          <w:rFonts w:ascii="Times New Roman" w:hAnsi="Times New Roman" w:cs="Times New Roman"/>
          <w:b/>
          <w:bCs/>
          <w:sz w:val="20"/>
          <w:szCs w:val="20"/>
          <w:lang w:bidi="gu-IN"/>
        </w:rPr>
      </w:pPr>
      <w:r w:rsidRPr="00A10480">
        <w:rPr>
          <w:rFonts w:ascii="Times New Roman" w:hAnsi="Times New Roman" w:cs="Times New Roman"/>
          <w:b/>
          <w:bCs/>
          <w:sz w:val="20"/>
          <w:szCs w:val="20"/>
          <w:lang w:bidi="gu-IN"/>
        </w:rPr>
        <w:lastRenderedPageBreak/>
        <w:t>TABLE 1: KUPPUSWAMY’S SOCIOECONOMIC STATUS SCALE</w:t>
      </w:r>
    </w:p>
    <w:p w:rsidR="00B94F20"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
          <w:sz w:val="20"/>
          <w:szCs w:val="20"/>
        </w:rPr>
      </w:pPr>
      <w:r w:rsidRPr="00A10480">
        <w:rPr>
          <w:rFonts w:ascii="Times New Roman" w:hAnsi="Times New Roman" w:cs="Times New Roman"/>
          <w:b/>
          <w:bCs/>
          <w:sz w:val="20"/>
          <w:szCs w:val="20"/>
        </w:rPr>
        <w:t>(A) Education Score</w:t>
      </w:r>
    </w:p>
    <w:p w:rsidR="00B94F20"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rPr>
      </w:pPr>
      <w:r w:rsidRPr="00A10480">
        <w:rPr>
          <w:rFonts w:ascii="Times New Roman" w:hAnsi="Times New Roman" w:cs="Times New Roman"/>
          <w:bCs/>
          <w:sz w:val="20"/>
          <w:szCs w:val="20"/>
        </w:rPr>
        <w:t>1 Professional or Honors                                       4</w:t>
      </w:r>
    </w:p>
    <w:p w:rsidR="00B94F20"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rPr>
      </w:pPr>
      <w:r w:rsidRPr="00A10480">
        <w:rPr>
          <w:rFonts w:ascii="Times New Roman" w:hAnsi="Times New Roman" w:cs="Times New Roman"/>
          <w:bCs/>
          <w:sz w:val="20"/>
          <w:szCs w:val="20"/>
        </w:rPr>
        <w:t>2 Graduate or Post Graduate                                 3</w:t>
      </w:r>
    </w:p>
    <w:p w:rsidR="00B94F20"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rPr>
      </w:pPr>
      <w:r w:rsidRPr="00A10480">
        <w:rPr>
          <w:rFonts w:ascii="Times New Roman" w:hAnsi="Times New Roman" w:cs="Times New Roman"/>
          <w:bCs/>
          <w:sz w:val="20"/>
          <w:szCs w:val="20"/>
        </w:rPr>
        <w:t>3 High school or Intermediate or Diploma           2</w:t>
      </w:r>
    </w:p>
    <w:p w:rsidR="00B94F20"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rPr>
      </w:pPr>
      <w:r w:rsidRPr="00A10480">
        <w:rPr>
          <w:rFonts w:ascii="Times New Roman" w:hAnsi="Times New Roman" w:cs="Times New Roman"/>
          <w:bCs/>
          <w:sz w:val="20"/>
          <w:szCs w:val="20"/>
        </w:rPr>
        <w:t>4 Illiterate or Primary school                                1</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
          <w:sz w:val="20"/>
          <w:szCs w:val="20"/>
          <w:lang w:bidi="gu-IN"/>
        </w:rPr>
      </w:pPr>
      <w:r w:rsidRPr="00A10480">
        <w:rPr>
          <w:rFonts w:ascii="Times New Roman" w:hAnsi="Times New Roman" w:cs="Times New Roman"/>
          <w:b/>
          <w:bCs/>
          <w:sz w:val="20"/>
          <w:szCs w:val="20"/>
          <w:lang w:bidi="gu-IN"/>
        </w:rPr>
        <w:t>(B) Occupation Score</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1 Legislators, Senior Officials, and Managers       13</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2 Professionals                                                       11</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3 Technicians and Associate Professionals             9</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4 Clerks                                                                   7</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5 Service Workers and Shop and</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Market Sales Workers                                             6</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6 Skilled Agricultural and Fishery Workers           5</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7 Craft and Related Trades Workers                      4</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8 Plant and Machine Operators and</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Assemblers                                                              3</w:t>
      </w: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9 Unskilled worker                                                  2</w:t>
      </w:r>
    </w:p>
    <w:p w:rsidR="005D38DF"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Cs/>
          <w:sz w:val="20"/>
          <w:szCs w:val="20"/>
          <w:lang w:bidi="gu-IN"/>
        </w:rPr>
      </w:pPr>
      <w:r w:rsidRPr="00A10480">
        <w:rPr>
          <w:rFonts w:ascii="Times New Roman" w:hAnsi="Times New Roman" w:cs="Times New Roman"/>
          <w:bCs/>
          <w:sz w:val="20"/>
          <w:szCs w:val="20"/>
          <w:lang w:bidi="gu-IN"/>
        </w:rPr>
        <w:t>10 Unemployed                                                       1</w:t>
      </w:r>
    </w:p>
    <w:p w:rsidR="00373A57" w:rsidRPr="00A10480" w:rsidRDefault="00373A57" w:rsidP="00A10480">
      <w:pPr>
        <w:numPr>
          <w:ilvl w:val="0"/>
          <w:numId w:val="3"/>
        </w:numPr>
        <w:autoSpaceDE w:val="0"/>
        <w:autoSpaceDN w:val="0"/>
        <w:adjustRightInd w:val="0"/>
        <w:spacing w:after="0" w:line="360" w:lineRule="auto"/>
        <w:jc w:val="both"/>
        <w:rPr>
          <w:rFonts w:ascii="Times New Roman" w:hAnsi="Times New Roman" w:cs="Times New Roman"/>
          <w:b/>
          <w:sz w:val="20"/>
          <w:szCs w:val="20"/>
          <w:lang w:bidi="gu-IN"/>
        </w:rPr>
      </w:pPr>
    </w:p>
    <w:p w:rsidR="00BB55B3" w:rsidRPr="00A10480" w:rsidRDefault="00BB55B3" w:rsidP="00A10480">
      <w:pPr>
        <w:numPr>
          <w:ilvl w:val="0"/>
          <w:numId w:val="3"/>
        </w:numPr>
        <w:autoSpaceDE w:val="0"/>
        <w:autoSpaceDN w:val="0"/>
        <w:adjustRightInd w:val="0"/>
        <w:spacing w:after="0" w:line="360" w:lineRule="auto"/>
        <w:jc w:val="both"/>
        <w:rPr>
          <w:rFonts w:ascii="Times New Roman" w:hAnsi="Times New Roman" w:cs="Times New Roman"/>
          <w:b/>
          <w:sz w:val="20"/>
          <w:szCs w:val="20"/>
          <w:lang w:bidi="gu-IN"/>
        </w:rPr>
      </w:pPr>
      <w:r w:rsidRPr="00A10480">
        <w:rPr>
          <w:rFonts w:ascii="Times New Roman" w:hAnsi="Times New Roman" w:cs="Times New Roman"/>
          <w:b/>
          <w:bCs/>
          <w:sz w:val="20"/>
          <w:szCs w:val="20"/>
          <w:lang w:bidi="gu-IN"/>
        </w:rPr>
        <w:t>(C)Monthly family income</w:t>
      </w:r>
    </w:p>
    <w:tbl>
      <w:tblPr>
        <w:tblW w:w="8124" w:type="dxa"/>
        <w:tblInd w:w="750" w:type="dxa"/>
        <w:tblCellMar>
          <w:left w:w="0" w:type="dxa"/>
          <w:right w:w="0" w:type="dxa"/>
        </w:tblCellMar>
        <w:tblLook w:val="0420"/>
      </w:tblPr>
      <w:tblGrid>
        <w:gridCol w:w="2814"/>
        <w:gridCol w:w="1530"/>
        <w:gridCol w:w="3780"/>
      </w:tblGrid>
      <w:tr w:rsidR="00BB55B3" w:rsidRPr="00A10480" w:rsidTr="00BB55B3">
        <w:trPr>
          <w:trHeight w:val="220"/>
        </w:trPr>
        <w:tc>
          <w:tcPr>
            <w:tcW w:w="2814"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Monthly family</w:t>
            </w:r>
          </w:p>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income in Rupees(1976)</w:t>
            </w:r>
          </w:p>
        </w:tc>
        <w:tc>
          <w:tcPr>
            <w:tcW w:w="153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Score</w:t>
            </w:r>
          </w:p>
        </w:tc>
        <w:tc>
          <w:tcPr>
            <w:tcW w:w="378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BB55B3" w:rsidRPr="00A10480" w:rsidRDefault="00B4118B"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Modified income</w:t>
            </w:r>
            <w:r w:rsidR="00BB55B3" w:rsidRPr="00A10480">
              <w:rPr>
                <w:rFonts w:ascii="Times New Roman" w:hAnsi="Times New Roman" w:cs="Times New Roman"/>
                <w:sz w:val="20"/>
                <w:szCs w:val="20"/>
              </w:rPr>
              <w:t xml:space="preserve"> in rupees</w:t>
            </w:r>
          </w:p>
        </w:tc>
      </w:tr>
      <w:tr w:rsidR="00BB55B3" w:rsidRPr="00A10480" w:rsidTr="00BB55B3">
        <w:trPr>
          <w:trHeight w:val="220"/>
        </w:trPr>
        <w:tc>
          <w:tcPr>
            <w:tcW w:w="2814"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&gt;=2000</w:t>
            </w:r>
          </w:p>
        </w:tc>
        <w:tc>
          <w:tcPr>
            <w:tcW w:w="153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12</w:t>
            </w:r>
          </w:p>
        </w:tc>
        <w:tc>
          <w:tcPr>
            <w:tcW w:w="378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&gt;=32050</w:t>
            </w:r>
          </w:p>
        </w:tc>
      </w:tr>
      <w:tr w:rsidR="00BB55B3" w:rsidRPr="00A10480" w:rsidTr="00BB55B3">
        <w:trPr>
          <w:trHeight w:val="220"/>
        </w:trPr>
        <w:tc>
          <w:tcPr>
            <w:tcW w:w="2814"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1000-1999</w:t>
            </w:r>
          </w:p>
        </w:tc>
        <w:tc>
          <w:tcPr>
            <w:tcW w:w="153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10</w:t>
            </w:r>
          </w:p>
        </w:tc>
        <w:tc>
          <w:tcPr>
            <w:tcW w:w="378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16020-32049</w:t>
            </w:r>
          </w:p>
        </w:tc>
      </w:tr>
      <w:tr w:rsidR="00BB55B3" w:rsidRPr="00A10480" w:rsidTr="00BB55B3">
        <w:trPr>
          <w:trHeight w:val="220"/>
        </w:trPr>
        <w:tc>
          <w:tcPr>
            <w:tcW w:w="2814"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750-999</w:t>
            </w:r>
          </w:p>
        </w:tc>
        <w:tc>
          <w:tcPr>
            <w:tcW w:w="153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6</w:t>
            </w:r>
          </w:p>
        </w:tc>
        <w:tc>
          <w:tcPr>
            <w:tcW w:w="378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12010-16019</w:t>
            </w:r>
          </w:p>
        </w:tc>
      </w:tr>
      <w:tr w:rsidR="00BB55B3" w:rsidRPr="00A10480" w:rsidTr="00BB55B3">
        <w:trPr>
          <w:trHeight w:val="220"/>
        </w:trPr>
        <w:tc>
          <w:tcPr>
            <w:tcW w:w="2814"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500-749</w:t>
            </w:r>
          </w:p>
        </w:tc>
        <w:tc>
          <w:tcPr>
            <w:tcW w:w="153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4</w:t>
            </w:r>
          </w:p>
        </w:tc>
        <w:tc>
          <w:tcPr>
            <w:tcW w:w="378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8010-12019</w:t>
            </w:r>
          </w:p>
        </w:tc>
      </w:tr>
      <w:tr w:rsidR="00BB55B3" w:rsidRPr="00A10480" w:rsidTr="00BB55B3">
        <w:trPr>
          <w:trHeight w:val="220"/>
        </w:trPr>
        <w:tc>
          <w:tcPr>
            <w:tcW w:w="2814"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300-499</w:t>
            </w:r>
          </w:p>
        </w:tc>
        <w:tc>
          <w:tcPr>
            <w:tcW w:w="153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3</w:t>
            </w:r>
          </w:p>
        </w:tc>
        <w:tc>
          <w:tcPr>
            <w:tcW w:w="378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4810-8009</w:t>
            </w:r>
          </w:p>
        </w:tc>
      </w:tr>
      <w:tr w:rsidR="00BB55B3" w:rsidRPr="00A10480" w:rsidTr="00BB55B3">
        <w:trPr>
          <w:trHeight w:val="220"/>
        </w:trPr>
        <w:tc>
          <w:tcPr>
            <w:tcW w:w="2814"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101-299</w:t>
            </w:r>
          </w:p>
        </w:tc>
        <w:tc>
          <w:tcPr>
            <w:tcW w:w="153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w:t>
            </w:r>
          </w:p>
        </w:tc>
        <w:tc>
          <w:tcPr>
            <w:tcW w:w="378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1601-4809</w:t>
            </w:r>
          </w:p>
        </w:tc>
      </w:tr>
      <w:tr w:rsidR="00BB55B3" w:rsidRPr="00A10480" w:rsidTr="00BB55B3">
        <w:trPr>
          <w:trHeight w:val="6"/>
        </w:trPr>
        <w:tc>
          <w:tcPr>
            <w:tcW w:w="2814"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&lt;=100</w:t>
            </w:r>
          </w:p>
        </w:tc>
        <w:tc>
          <w:tcPr>
            <w:tcW w:w="153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w:t>
            </w:r>
          </w:p>
        </w:tc>
        <w:tc>
          <w:tcPr>
            <w:tcW w:w="378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BB55B3" w:rsidRPr="00A10480" w:rsidRDefault="00BB55B3"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&lt;=1600</w:t>
            </w:r>
          </w:p>
        </w:tc>
      </w:tr>
    </w:tbl>
    <w:p w:rsidR="004A1C6A" w:rsidRDefault="004A1C6A" w:rsidP="00A10480">
      <w:pPr>
        <w:autoSpaceDE w:val="0"/>
        <w:autoSpaceDN w:val="0"/>
        <w:adjustRightInd w:val="0"/>
        <w:spacing w:after="0" w:line="360" w:lineRule="auto"/>
        <w:jc w:val="both"/>
        <w:rPr>
          <w:rFonts w:ascii="Times New Roman" w:hAnsi="Times New Roman" w:cs="Times New Roman"/>
          <w:b/>
          <w:sz w:val="20"/>
          <w:szCs w:val="20"/>
        </w:rPr>
      </w:pPr>
    </w:p>
    <w:p w:rsidR="00A10480" w:rsidRPr="00A10480" w:rsidRDefault="00A10480" w:rsidP="00A10480">
      <w:pPr>
        <w:autoSpaceDE w:val="0"/>
        <w:autoSpaceDN w:val="0"/>
        <w:adjustRightInd w:val="0"/>
        <w:spacing w:after="0" w:line="360" w:lineRule="auto"/>
        <w:jc w:val="both"/>
        <w:rPr>
          <w:rFonts w:ascii="Times New Roman" w:hAnsi="Times New Roman" w:cs="Times New Roman"/>
          <w:b/>
          <w:sz w:val="20"/>
          <w:szCs w:val="20"/>
        </w:rPr>
      </w:pPr>
    </w:p>
    <w:tbl>
      <w:tblPr>
        <w:tblStyle w:val="TableGrid"/>
        <w:tblW w:w="9180" w:type="dxa"/>
        <w:tblInd w:w="198" w:type="dxa"/>
        <w:tblLook w:val="04A0"/>
      </w:tblPr>
      <w:tblGrid>
        <w:gridCol w:w="3152"/>
        <w:gridCol w:w="2338"/>
        <w:gridCol w:w="3690"/>
      </w:tblGrid>
      <w:tr w:rsidR="00552E4E" w:rsidRPr="00A10480" w:rsidTr="00552E4E">
        <w:trPr>
          <w:trHeight w:val="533"/>
        </w:trPr>
        <w:tc>
          <w:tcPr>
            <w:tcW w:w="3152"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lastRenderedPageBreak/>
              <w:t>Total Score</w:t>
            </w:r>
          </w:p>
        </w:tc>
        <w:tc>
          <w:tcPr>
            <w:tcW w:w="6028" w:type="dxa"/>
            <w:gridSpan w:val="2"/>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CLASS</w:t>
            </w:r>
          </w:p>
        </w:tc>
      </w:tr>
      <w:tr w:rsidR="00552E4E" w:rsidRPr="00A10480" w:rsidTr="00552E4E">
        <w:trPr>
          <w:trHeight w:val="569"/>
        </w:trPr>
        <w:tc>
          <w:tcPr>
            <w:tcW w:w="3152"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26-29</w:t>
            </w:r>
          </w:p>
        </w:tc>
        <w:tc>
          <w:tcPr>
            <w:tcW w:w="2338"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I</w:t>
            </w:r>
          </w:p>
        </w:tc>
        <w:tc>
          <w:tcPr>
            <w:tcW w:w="3690"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 xml:space="preserve">Upper </w:t>
            </w:r>
          </w:p>
        </w:tc>
      </w:tr>
      <w:tr w:rsidR="00552E4E" w:rsidRPr="00A10480" w:rsidTr="00552E4E">
        <w:trPr>
          <w:trHeight w:val="533"/>
        </w:trPr>
        <w:tc>
          <w:tcPr>
            <w:tcW w:w="3152"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16-25</w:t>
            </w:r>
          </w:p>
        </w:tc>
        <w:tc>
          <w:tcPr>
            <w:tcW w:w="2338"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II</w:t>
            </w:r>
          </w:p>
        </w:tc>
        <w:tc>
          <w:tcPr>
            <w:tcW w:w="3690"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Upper Middle</w:t>
            </w:r>
          </w:p>
        </w:tc>
      </w:tr>
      <w:tr w:rsidR="00552E4E" w:rsidRPr="00A10480" w:rsidTr="00552E4E">
        <w:trPr>
          <w:trHeight w:val="569"/>
        </w:trPr>
        <w:tc>
          <w:tcPr>
            <w:tcW w:w="3152"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11-15</w:t>
            </w:r>
          </w:p>
        </w:tc>
        <w:tc>
          <w:tcPr>
            <w:tcW w:w="2338"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III</w:t>
            </w:r>
          </w:p>
        </w:tc>
        <w:tc>
          <w:tcPr>
            <w:tcW w:w="3690"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Middle / Lower Middle</w:t>
            </w:r>
          </w:p>
        </w:tc>
      </w:tr>
      <w:tr w:rsidR="00552E4E" w:rsidRPr="00A10480" w:rsidTr="00552E4E">
        <w:trPr>
          <w:trHeight w:val="569"/>
        </w:trPr>
        <w:tc>
          <w:tcPr>
            <w:tcW w:w="3152"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5-10</w:t>
            </w:r>
          </w:p>
        </w:tc>
        <w:tc>
          <w:tcPr>
            <w:tcW w:w="2338"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IV</w:t>
            </w:r>
          </w:p>
        </w:tc>
        <w:tc>
          <w:tcPr>
            <w:tcW w:w="3690"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Upper Lower</w:t>
            </w:r>
          </w:p>
        </w:tc>
      </w:tr>
      <w:tr w:rsidR="00552E4E" w:rsidRPr="00A10480" w:rsidTr="00552E4E">
        <w:trPr>
          <w:trHeight w:val="569"/>
        </w:trPr>
        <w:tc>
          <w:tcPr>
            <w:tcW w:w="3152"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0-4</w:t>
            </w:r>
          </w:p>
        </w:tc>
        <w:tc>
          <w:tcPr>
            <w:tcW w:w="2338"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V</w:t>
            </w:r>
          </w:p>
        </w:tc>
        <w:tc>
          <w:tcPr>
            <w:tcW w:w="3690" w:type="dxa"/>
          </w:tcPr>
          <w:p w:rsidR="00552E4E" w:rsidRPr="00A10480" w:rsidRDefault="00552E4E" w:rsidP="00A10480">
            <w:pPr>
              <w:autoSpaceDE w:val="0"/>
              <w:autoSpaceDN w:val="0"/>
              <w:adjustRightInd w:val="0"/>
              <w:spacing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Lower</w:t>
            </w:r>
          </w:p>
        </w:tc>
      </w:tr>
    </w:tbl>
    <w:p w:rsidR="004A1C6A" w:rsidRPr="00A10480" w:rsidRDefault="004A1C6A" w:rsidP="00A10480">
      <w:pPr>
        <w:autoSpaceDE w:val="0"/>
        <w:autoSpaceDN w:val="0"/>
        <w:adjustRightInd w:val="0"/>
        <w:spacing w:after="0" w:line="360" w:lineRule="auto"/>
        <w:jc w:val="both"/>
        <w:rPr>
          <w:rFonts w:ascii="Times New Roman" w:hAnsi="Times New Roman" w:cs="Times New Roman"/>
          <w:b/>
          <w:sz w:val="20"/>
          <w:szCs w:val="20"/>
        </w:rPr>
      </w:pPr>
    </w:p>
    <w:p w:rsidR="00102CD2" w:rsidRPr="00A10480" w:rsidRDefault="00981C4D"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b/>
          <w:sz w:val="20"/>
          <w:szCs w:val="20"/>
        </w:rPr>
        <w:t>RESULT:</w:t>
      </w:r>
    </w:p>
    <w:p w:rsidR="00514581" w:rsidRPr="00A10480" w:rsidRDefault="00F77D04"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 total of 280</w:t>
      </w:r>
      <w:r w:rsidR="00514581" w:rsidRPr="00A10480">
        <w:rPr>
          <w:rFonts w:ascii="Times New Roman" w:hAnsi="Times New Roman" w:cs="Times New Roman"/>
          <w:sz w:val="20"/>
          <w:szCs w:val="20"/>
        </w:rPr>
        <w:t xml:space="preserve"> patients belonged to LOWER class (V) and had a mean CPI score of 3.08. There was a need of complex treatment like deep scaling, root planning and complex surgical procedures in about 87.35% of patients.</w:t>
      </w:r>
    </w:p>
    <w:p w:rsidR="00514581" w:rsidRPr="00A10480" w:rsidRDefault="00F77D04"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 total of 495</w:t>
      </w:r>
      <w:r w:rsidR="00514581" w:rsidRPr="00A10480">
        <w:rPr>
          <w:rFonts w:ascii="Times New Roman" w:hAnsi="Times New Roman" w:cs="Times New Roman"/>
          <w:sz w:val="20"/>
          <w:szCs w:val="20"/>
        </w:rPr>
        <w:t xml:space="preserve"> patients belonged to UPPER-LOWER class (IV) and had a mean CPI score of 2.5. There was a need of scaling and root planning and need for improving oral hygiene in about 79% of patients.</w:t>
      </w:r>
    </w:p>
    <w:p w:rsidR="00514581" w:rsidRPr="00A10480" w:rsidRDefault="00F77D04"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 total of 172</w:t>
      </w:r>
      <w:r w:rsidR="00514581" w:rsidRPr="00A10480">
        <w:rPr>
          <w:rFonts w:ascii="Times New Roman" w:hAnsi="Times New Roman" w:cs="Times New Roman"/>
          <w:sz w:val="20"/>
          <w:szCs w:val="20"/>
        </w:rPr>
        <w:t xml:space="preserve"> patients belonged to MIDDLE class (III) and had a mean CPI score of 2.15. There was a need of scaling and improving oral hygiene in about 71.34% of patients.</w:t>
      </w:r>
    </w:p>
    <w:p w:rsidR="00514581" w:rsidRPr="00A10480" w:rsidRDefault="00514581"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 total of 116 patients belonged to UPPER-MIDDLE class (II) and had a mean CPI score of 1.5. There was a need of scaling and improving oral hygiene in about 64.65% of patients.</w:t>
      </w:r>
    </w:p>
    <w:p w:rsidR="00514581" w:rsidRPr="00A10480" w:rsidRDefault="00514581"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 total of 6 patients belonged to UPPER class (I) and had a mean CPI score of 1.25. There was a need of improving oral hygiene in about 50% of patients.</w:t>
      </w:r>
    </w:p>
    <w:p w:rsidR="00514581" w:rsidRPr="00A10480" w:rsidRDefault="00514581" w:rsidP="00A10480">
      <w:pPr>
        <w:autoSpaceDE w:val="0"/>
        <w:autoSpaceDN w:val="0"/>
        <w:adjustRightInd w:val="0"/>
        <w:spacing w:after="0" w:line="360" w:lineRule="auto"/>
        <w:jc w:val="both"/>
        <w:rPr>
          <w:rFonts w:ascii="Times New Roman" w:hAnsi="Times New Roman" w:cs="Times New Roman"/>
          <w:sz w:val="20"/>
          <w:szCs w:val="20"/>
        </w:rPr>
      </w:pP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CPI SCORES</w:t>
      </w: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p>
    <w:tbl>
      <w:tblPr>
        <w:tblW w:w="10529" w:type="dxa"/>
        <w:tblInd w:w="-590" w:type="dxa"/>
        <w:tblLook w:val="04A0"/>
      </w:tblPr>
      <w:tblGrid>
        <w:gridCol w:w="1102"/>
        <w:gridCol w:w="920"/>
        <w:gridCol w:w="859"/>
        <w:gridCol w:w="1163"/>
        <w:gridCol w:w="920"/>
        <w:gridCol w:w="1076"/>
        <w:gridCol w:w="1013"/>
        <w:gridCol w:w="1177"/>
        <w:gridCol w:w="1216"/>
        <w:gridCol w:w="1083"/>
      </w:tblGrid>
      <w:tr w:rsidR="002837EE" w:rsidRPr="00A10480" w:rsidTr="005C5AA7">
        <w:trPr>
          <w:trHeight w:val="255"/>
        </w:trPr>
        <w:tc>
          <w:tcPr>
            <w:tcW w:w="1102" w:type="dxa"/>
            <w:vMerge w:val="restart"/>
            <w:tcBorders>
              <w:top w:val="single" w:sz="8" w:space="0" w:color="auto"/>
              <w:left w:val="single" w:sz="8" w:space="0" w:color="auto"/>
              <w:bottom w:val="single" w:sz="8" w:space="0" w:color="000000"/>
              <w:right w:val="nil"/>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Class</w:t>
            </w:r>
          </w:p>
        </w:tc>
        <w:tc>
          <w:tcPr>
            <w:tcW w:w="920" w:type="dxa"/>
            <w:vMerge w:val="restart"/>
            <w:tcBorders>
              <w:top w:val="single" w:sz="8" w:space="0" w:color="auto"/>
              <w:left w:val="single" w:sz="8" w:space="0" w:color="auto"/>
              <w:bottom w:val="single" w:sz="8" w:space="0" w:color="000000"/>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N</w:t>
            </w:r>
          </w:p>
        </w:tc>
        <w:tc>
          <w:tcPr>
            <w:tcW w:w="859" w:type="dxa"/>
            <w:vMerge w:val="restart"/>
            <w:tcBorders>
              <w:top w:val="single" w:sz="8" w:space="0" w:color="auto"/>
              <w:left w:val="single" w:sz="4" w:space="0" w:color="auto"/>
              <w:bottom w:val="single" w:sz="8" w:space="0" w:color="000000"/>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Mean</w:t>
            </w:r>
          </w:p>
        </w:tc>
        <w:tc>
          <w:tcPr>
            <w:tcW w:w="1163" w:type="dxa"/>
            <w:vMerge w:val="restart"/>
            <w:tcBorders>
              <w:top w:val="single" w:sz="8" w:space="0" w:color="auto"/>
              <w:left w:val="single" w:sz="4" w:space="0" w:color="auto"/>
              <w:bottom w:val="single" w:sz="8" w:space="0" w:color="000000"/>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Std. Deviation</w:t>
            </w:r>
          </w:p>
        </w:tc>
        <w:tc>
          <w:tcPr>
            <w:tcW w:w="920" w:type="dxa"/>
            <w:vMerge w:val="restart"/>
            <w:tcBorders>
              <w:top w:val="single" w:sz="8" w:space="0" w:color="auto"/>
              <w:left w:val="single" w:sz="4" w:space="0" w:color="auto"/>
              <w:bottom w:val="single" w:sz="8" w:space="0" w:color="000000"/>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Std. Error</w:t>
            </w:r>
          </w:p>
        </w:tc>
        <w:tc>
          <w:tcPr>
            <w:tcW w:w="2089" w:type="dxa"/>
            <w:gridSpan w:val="2"/>
            <w:tcBorders>
              <w:top w:val="single" w:sz="8" w:space="0" w:color="auto"/>
              <w:left w:val="nil"/>
              <w:bottom w:val="single" w:sz="4" w:space="0" w:color="auto"/>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95% Confidence Interval for Mean</w:t>
            </w:r>
          </w:p>
        </w:tc>
        <w:tc>
          <w:tcPr>
            <w:tcW w:w="1177" w:type="dxa"/>
            <w:vMerge w:val="restart"/>
            <w:tcBorders>
              <w:top w:val="single" w:sz="8" w:space="0" w:color="auto"/>
              <w:left w:val="single" w:sz="4" w:space="0" w:color="auto"/>
              <w:bottom w:val="single" w:sz="8" w:space="0" w:color="000000"/>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Minimum</w:t>
            </w:r>
          </w:p>
        </w:tc>
        <w:tc>
          <w:tcPr>
            <w:tcW w:w="1216" w:type="dxa"/>
            <w:vMerge w:val="restart"/>
            <w:tcBorders>
              <w:top w:val="single" w:sz="8" w:space="0" w:color="auto"/>
              <w:left w:val="single" w:sz="4" w:space="0" w:color="auto"/>
              <w:bottom w:val="single" w:sz="8" w:space="0" w:color="000000"/>
              <w:right w:val="single" w:sz="8"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Maximum</w:t>
            </w:r>
          </w:p>
        </w:tc>
        <w:tc>
          <w:tcPr>
            <w:tcW w:w="1083" w:type="dxa"/>
            <w:vMerge w:val="restart"/>
            <w:tcBorders>
              <w:top w:val="single" w:sz="8" w:space="0" w:color="auto"/>
              <w:left w:val="single" w:sz="4" w:space="0" w:color="auto"/>
              <w:bottom w:val="single" w:sz="8" w:space="0" w:color="000000"/>
              <w:right w:val="single" w:sz="8"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ANOVA P VALUE</w:t>
            </w:r>
          </w:p>
        </w:tc>
      </w:tr>
      <w:tr w:rsidR="002837EE" w:rsidRPr="00A10480" w:rsidTr="005C5AA7">
        <w:trPr>
          <w:trHeight w:val="495"/>
        </w:trPr>
        <w:tc>
          <w:tcPr>
            <w:tcW w:w="1102" w:type="dxa"/>
            <w:vMerge/>
            <w:tcBorders>
              <w:top w:val="single" w:sz="8" w:space="0" w:color="auto"/>
              <w:left w:val="single" w:sz="8" w:space="0" w:color="auto"/>
              <w:bottom w:val="single" w:sz="8" w:space="0" w:color="000000"/>
              <w:right w:val="nil"/>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920" w:type="dxa"/>
            <w:vMerge/>
            <w:tcBorders>
              <w:top w:val="single" w:sz="8" w:space="0" w:color="auto"/>
              <w:left w:val="single" w:sz="8" w:space="0" w:color="auto"/>
              <w:bottom w:val="single" w:sz="8" w:space="0" w:color="000000"/>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859" w:type="dxa"/>
            <w:vMerge/>
            <w:tcBorders>
              <w:top w:val="single" w:sz="8" w:space="0" w:color="auto"/>
              <w:left w:val="single" w:sz="4" w:space="0" w:color="auto"/>
              <w:bottom w:val="single" w:sz="8" w:space="0" w:color="000000"/>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163" w:type="dxa"/>
            <w:vMerge/>
            <w:tcBorders>
              <w:top w:val="single" w:sz="8" w:space="0" w:color="auto"/>
              <w:left w:val="single" w:sz="4" w:space="0" w:color="auto"/>
              <w:bottom w:val="single" w:sz="8" w:space="0" w:color="000000"/>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920" w:type="dxa"/>
            <w:vMerge/>
            <w:tcBorders>
              <w:top w:val="single" w:sz="8" w:space="0" w:color="auto"/>
              <w:left w:val="single" w:sz="4" w:space="0" w:color="auto"/>
              <w:bottom w:val="single" w:sz="8" w:space="0" w:color="000000"/>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076" w:type="dxa"/>
            <w:tcBorders>
              <w:top w:val="nil"/>
              <w:left w:val="nil"/>
              <w:bottom w:val="single" w:sz="8" w:space="0" w:color="auto"/>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Lower Bound</w:t>
            </w:r>
          </w:p>
        </w:tc>
        <w:tc>
          <w:tcPr>
            <w:tcW w:w="1013" w:type="dxa"/>
            <w:tcBorders>
              <w:top w:val="nil"/>
              <w:left w:val="nil"/>
              <w:bottom w:val="single" w:sz="8" w:space="0" w:color="auto"/>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Upper Bound</w:t>
            </w:r>
          </w:p>
        </w:tc>
        <w:tc>
          <w:tcPr>
            <w:tcW w:w="1177" w:type="dxa"/>
            <w:vMerge/>
            <w:tcBorders>
              <w:top w:val="single" w:sz="8" w:space="0" w:color="auto"/>
              <w:left w:val="single" w:sz="4" w:space="0" w:color="auto"/>
              <w:bottom w:val="single" w:sz="8" w:space="0" w:color="000000"/>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216" w:type="dxa"/>
            <w:vMerge/>
            <w:tcBorders>
              <w:top w:val="single" w:sz="8" w:space="0" w:color="auto"/>
              <w:left w:val="single" w:sz="4" w:space="0" w:color="auto"/>
              <w:bottom w:val="single" w:sz="8" w:space="0" w:color="000000"/>
              <w:right w:val="single" w:sz="8"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083" w:type="dxa"/>
            <w:vMerge/>
            <w:tcBorders>
              <w:top w:val="single" w:sz="8" w:space="0" w:color="auto"/>
              <w:left w:val="single" w:sz="4" w:space="0" w:color="auto"/>
              <w:bottom w:val="single" w:sz="8" w:space="0" w:color="000000"/>
              <w:right w:val="single" w:sz="8"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r>
      <w:tr w:rsidR="002837EE" w:rsidRPr="00A10480" w:rsidTr="005C5AA7">
        <w:trPr>
          <w:trHeight w:val="255"/>
        </w:trPr>
        <w:tc>
          <w:tcPr>
            <w:tcW w:w="1102" w:type="dxa"/>
            <w:tcBorders>
              <w:top w:val="nil"/>
              <w:left w:val="single" w:sz="8" w:space="0" w:color="auto"/>
              <w:bottom w:val="nil"/>
              <w:right w:val="single" w:sz="8" w:space="0" w:color="000000"/>
            </w:tcBorders>
            <w:shd w:val="clear" w:color="auto" w:fill="auto"/>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6</w:t>
            </w:r>
          </w:p>
        </w:tc>
        <w:tc>
          <w:tcPr>
            <w:tcW w:w="859"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1.23</w:t>
            </w:r>
          </w:p>
        </w:tc>
        <w:tc>
          <w:tcPr>
            <w:tcW w:w="116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0.48</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0.198</w:t>
            </w:r>
          </w:p>
        </w:tc>
        <w:tc>
          <w:tcPr>
            <w:tcW w:w="1076"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0.72</w:t>
            </w:r>
          </w:p>
        </w:tc>
        <w:tc>
          <w:tcPr>
            <w:tcW w:w="101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1.74</w:t>
            </w:r>
          </w:p>
        </w:tc>
        <w:tc>
          <w:tcPr>
            <w:tcW w:w="1177"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1216" w:type="dxa"/>
            <w:tcBorders>
              <w:top w:val="nil"/>
              <w:left w:val="nil"/>
              <w:bottom w:val="nil"/>
              <w:right w:val="nil"/>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r>
      <w:tr w:rsidR="002837EE" w:rsidRPr="00A10480" w:rsidTr="005C5AA7">
        <w:trPr>
          <w:trHeight w:val="255"/>
        </w:trPr>
        <w:tc>
          <w:tcPr>
            <w:tcW w:w="1102" w:type="dxa"/>
            <w:tcBorders>
              <w:top w:val="nil"/>
              <w:left w:val="single" w:sz="8" w:space="0" w:color="auto"/>
              <w:bottom w:val="nil"/>
              <w:right w:val="single" w:sz="8" w:space="0" w:color="000000"/>
            </w:tcBorders>
            <w:shd w:val="clear" w:color="auto" w:fill="auto"/>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116</w:t>
            </w:r>
          </w:p>
        </w:tc>
        <w:tc>
          <w:tcPr>
            <w:tcW w:w="859"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1.54</w:t>
            </w:r>
          </w:p>
        </w:tc>
        <w:tc>
          <w:tcPr>
            <w:tcW w:w="116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0.72</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0.067</w:t>
            </w:r>
          </w:p>
        </w:tc>
        <w:tc>
          <w:tcPr>
            <w:tcW w:w="1076"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1.41</w:t>
            </w:r>
          </w:p>
        </w:tc>
        <w:tc>
          <w:tcPr>
            <w:tcW w:w="101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1.67</w:t>
            </w:r>
          </w:p>
        </w:tc>
        <w:tc>
          <w:tcPr>
            <w:tcW w:w="1177"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w:t>
            </w:r>
          </w:p>
        </w:tc>
        <w:tc>
          <w:tcPr>
            <w:tcW w:w="1216" w:type="dxa"/>
            <w:tcBorders>
              <w:top w:val="nil"/>
              <w:left w:val="nil"/>
              <w:bottom w:val="nil"/>
              <w:right w:val="nil"/>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083" w:type="dxa"/>
            <w:vMerge/>
            <w:tcBorders>
              <w:top w:val="nil"/>
              <w:left w:val="single" w:sz="8" w:space="0" w:color="auto"/>
              <w:bottom w:val="single" w:sz="8" w:space="0" w:color="000000"/>
              <w:right w:val="single" w:sz="8" w:space="0" w:color="auto"/>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r>
      <w:tr w:rsidR="002837EE" w:rsidRPr="00A10480" w:rsidTr="005C5AA7">
        <w:trPr>
          <w:trHeight w:val="255"/>
        </w:trPr>
        <w:tc>
          <w:tcPr>
            <w:tcW w:w="1102" w:type="dxa"/>
            <w:tcBorders>
              <w:top w:val="nil"/>
              <w:left w:val="single" w:sz="8" w:space="0" w:color="auto"/>
              <w:bottom w:val="nil"/>
              <w:right w:val="single" w:sz="8" w:space="0" w:color="000000"/>
            </w:tcBorders>
            <w:shd w:val="clear" w:color="auto" w:fill="auto"/>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172</w:t>
            </w:r>
          </w:p>
        </w:tc>
        <w:tc>
          <w:tcPr>
            <w:tcW w:w="859"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2.15</w:t>
            </w:r>
          </w:p>
        </w:tc>
        <w:tc>
          <w:tcPr>
            <w:tcW w:w="116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0.75</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0.057</w:t>
            </w:r>
          </w:p>
        </w:tc>
        <w:tc>
          <w:tcPr>
            <w:tcW w:w="1076"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2.04</w:t>
            </w:r>
          </w:p>
        </w:tc>
        <w:tc>
          <w:tcPr>
            <w:tcW w:w="101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2.27</w:t>
            </w:r>
          </w:p>
        </w:tc>
        <w:tc>
          <w:tcPr>
            <w:tcW w:w="1177"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1216" w:type="dxa"/>
            <w:tcBorders>
              <w:top w:val="nil"/>
              <w:left w:val="nil"/>
              <w:bottom w:val="nil"/>
              <w:right w:val="nil"/>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083" w:type="dxa"/>
            <w:vMerge/>
            <w:tcBorders>
              <w:top w:val="nil"/>
              <w:left w:val="single" w:sz="8" w:space="0" w:color="auto"/>
              <w:bottom w:val="single" w:sz="8" w:space="0" w:color="000000"/>
              <w:right w:val="single" w:sz="8" w:space="0" w:color="auto"/>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r>
      <w:tr w:rsidR="002837EE" w:rsidRPr="00A10480" w:rsidTr="005C5AA7">
        <w:trPr>
          <w:trHeight w:val="255"/>
        </w:trPr>
        <w:tc>
          <w:tcPr>
            <w:tcW w:w="1102" w:type="dxa"/>
            <w:tcBorders>
              <w:top w:val="nil"/>
              <w:left w:val="single" w:sz="8" w:space="0" w:color="auto"/>
              <w:bottom w:val="nil"/>
              <w:right w:val="single" w:sz="8" w:space="0" w:color="000000"/>
            </w:tcBorders>
            <w:shd w:val="clear" w:color="auto" w:fill="auto"/>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495</w:t>
            </w:r>
          </w:p>
        </w:tc>
        <w:tc>
          <w:tcPr>
            <w:tcW w:w="859"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2.63</w:t>
            </w:r>
          </w:p>
        </w:tc>
        <w:tc>
          <w:tcPr>
            <w:tcW w:w="116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0.70</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0.032</w:t>
            </w:r>
          </w:p>
        </w:tc>
        <w:tc>
          <w:tcPr>
            <w:tcW w:w="1076"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2.57</w:t>
            </w:r>
          </w:p>
        </w:tc>
        <w:tc>
          <w:tcPr>
            <w:tcW w:w="101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2.69</w:t>
            </w:r>
          </w:p>
        </w:tc>
        <w:tc>
          <w:tcPr>
            <w:tcW w:w="1177"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w:t>
            </w:r>
          </w:p>
        </w:tc>
        <w:tc>
          <w:tcPr>
            <w:tcW w:w="1216" w:type="dxa"/>
            <w:tcBorders>
              <w:top w:val="nil"/>
              <w:left w:val="nil"/>
              <w:bottom w:val="nil"/>
              <w:right w:val="nil"/>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083" w:type="dxa"/>
            <w:vMerge/>
            <w:tcBorders>
              <w:top w:val="nil"/>
              <w:left w:val="single" w:sz="8" w:space="0" w:color="auto"/>
              <w:bottom w:val="single" w:sz="8" w:space="0" w:color="000000"/>
              <w:right w:val="single" w:sz="8" w:space="0" w:color="auto"/>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r>
      <w:tr w:rsidR="002837EE" w:rsidRPr="00A10480" w:rsidTr="005C5AA7">
        <w:trPr>
          <w:trHeight w:val="255"/>
        </w:trPr>
        <w:tc>
          <w:tcPr>
            <w:tcW w:w="1102" w:type="dxa"/>
            <w:tcBorders>
              <w:top w:val="nil"/>
              <w:left w:val="single" w:sz="8" w:space="0" w:color="auto"/>
              <w:bottom w:val="nil"/>
              <w:right w:val="single" w:sz="8" w:space="0" w:color="000000"/>
            </w:tcBorders>
            <w:shd w:val="clear" w:color="auto" w:fill="auto"/>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5</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280</w:t>
            </w:r>
          </w:p>
        </w:tc>
        <w:tc>
          <w:tcPr>
            <w:tcW w:w="859"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3.05</w:t>
            </w:r>
          </w:p>
        </w:tc>
        <w:tc>
          <w:tcPr>
            <w:tcW w:w="116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0.56</w:t>
            </w:r>
          </w:p>
        </w:tc>
        <w:tc>
          <w:tcPr>
            <w:tcW w:w="920"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0.033</w:t>
            </w:r>
          </w:p>
        </w:tc>
        <w:tc>
          <w:tcPr>
            <w:tcW w:w="1076"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2.98</w:t>
            </w:r>
          </w:p>
        </w:tc>
        <w:tc>
          <w:tcPr>
            <w:tcW w:w="1013"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3.11</w:t>
            </w:r>
          </w:p>
        </w:tc>
        <w:tc>
          <w:tcPr>
            <w:tcW w:w="1177" w:type="dxa"/>
            <w:tcBorders>
              <w:top w:val="nil"/>
              <w:left w:val="nil"/>
              <w:bottom w:val="nil"/>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1216" w:type="dxa"/>
            <w:tcBorders>
              <w:top w:val="nil"/>
              <w:left w:val="nil"/>
              <w:bottom w:val="nil"/>
              <w:right w:val="nil"/>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083" w:type="dxa"/>
            <w:vMerge/>
            <w:tcBorders>
              <w:top w:val="nil"/>
              <w:left w:val="single" w:sz="8" w:space="0" w:color="auto"/>
              <w:bottom w:val="single" w:sz="8" w:space="0" w:color="000000"/>
              <w:right w:val="single" w:sz="8" w:space="0" w:color="auto"/>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r>
      <w:tr w:rsidR="002837EE" w:rsidRPr="00A10480" w:rsidTr="005C5AA7">
        <w:trPr>
          <w:trHeight w:val="270"/>
        </w:trPr>
        <w:tc>
          <w:tcPr>
            <w:tcW w:w="1102" w:type="dxa"/>
            <w:tcBorders>
              <w:top w:val="nil"/>
              <w:left w:val="single" w:sz="8" w:space="0" w:color="auto"/>
              <w:bottom w:val="single" w:sz="8" w:space="0" w:color="auto"/>
              <w:right w:val="single" w:sz="8" w:space="0" w:color="000000"/>
            </w:tcBorders>
            <w:shd w:val="clear" w:color="auto" w:fill="auto"/>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Total</w:t>
            </w:r>
          </w:p>
        </w:tc>
        <w:tc>
          <w:tcPr>
            <w:tcW w:w="920"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1,069</w:t>
            </w:r>
          </w:p>
        </w:tc>
        <w:tc>
          <w:tcPr>
            <w:tcW w:w="859"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2.54</w:t>
            </w:r>
          </w:p>
        </w:tc>
        <w:tc>
          <w:tcPr>
            <w:tcW w:w="1163"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0.82</w:t>
            </w:r>
          </w:p>
        </w:tc>
        <w:tc>
          <w:tcPr>
            <w:tcW w:w="920"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0.025</w:t>
            </w:r>
          </w:p>
        </w:tc>
        <w:tc>
          <w:tcPr>
            <w:tcW w:w="1076"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2.49</w:t>
            </w:r>
          </w:p>
        </w:tc>
        <w:tc>
          <w:tcPr>
            <w:tcW w:w="1013"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2.59</w:t>
            </w:r>
          </w:p>
        </w:tc>
        <w:tc>
          <w:tcPr>
            <w:tcW w:w="1177" w:type="dxa"/>
            <w:tcBorders>
              <w:top w:val="nil"/>
              <w:left w:val="nil"/>
              <w:bottom w:val="single" w:sz="8" w:space="0" w:color="auto"/>
              <w:right w:val="single" w:sz="4" w:space="0" w:color="000000"/>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w:t>
            </w:r>
          </w:p>
        </w:tc>
        <w:tc>
          <w:tcPr>
            <w:tcW w:w="1216" w:type="dxa"/>
            <w:tcBorders>
              <w:top w:val="nil"/>
              <w:left w:val="nil"/>
              <w:bottom w:val="single" w:sz="8" w:space="0" w:color="auto"/>
              <w:right w:val="nil"/>
            </w:tcBorders>
            <w:shd w:val="clear" w:color="auto" w:fill="auto"/>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083" w:type="dxa"/>
            <w:vMerge/>
            <w:tcBorders>
              <w:top w:val="nil"/>
              <w:left w:val="single" w:sz="8" w:space="0" w:color="auto"/>
              <w:bottom w:val="single" w:sz="8" w:space="0" w:color="000000"/>
              <w:right w:val="single" w:sz="8" w:space="0" w:color="auto"/>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r>
    </w:tbl>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p>
    <w:p w:rsidR="00A10480" w:rsidRDefault="00A10480" w:rsidP="00A10480">
      <w:pPr>
        <w:autoSpaceDE w:val="0"/>
        <w:autoSpaceDN w:val="0"/>
        <w:adjustRightInd w:val="0"/>
        <w:spacing w:after="0" w:line="360" w:lineRule="auto"/>
        <w:jc w:val="both"/>
        <w:rPr>
          <w:rFonts w:ascii="Times New Roman" w:hAnsi="Times New Roman" w:cs="Times New Roman"/>
          <w:sz w:val="20"/>
          <w:szCs w:val="20"/>
        </w:rPr>
      </w:pP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MULTIPLE COMPARISONS</w:t>
      </w: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DEPENDENT VARIABLE: CPI SCORE</w:t>
      </w: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TUKEY HSD</w:t>
      </w: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p>
    <w:tbl>
      <w:tblPr>
        <w:tblW w:w="9840" w:type="dxa"/>
        <w:tblInd w:w="118" w:type="dxa"/>
        <w:tblLook w:val="04A0"/>
      </w:tblPr>
      <w:tblGrid>
        <w:gridCol w:w="2120"/>
        <w:gridCol w:w="2190"/>
        <w:gridCol w:w="1430"/>
        <w:gridCol w:w="1120"/>
        <w:gridCol w:w="894"/>
        <w:gridCol w:w="1080"/>
        <w:gridCol w:w="1080"/>
      </w:tblGrid>
      <w:tr w:rsidR="002837EE" w:rsidRPr="00A10480" w:rsidTr="002837EE">
        <w:trPr>
          <w:trHeight w:val="270"/>
        </w:trPr>
        <w:tc>
          <w:tcPr>
            <w:tcW w:w="2120" w:type="dxa"/>
            <w:vMerge w:val="restart"/>
            <w:tcBorders>
              <w:top w:val="single" w:sz="8" w:space="0" w:color="auto"/>
              <w:left w:val="single" w:sz="8" w:space="0" w:color="auto"/>
              <w:bottom w:val="single" w:sz="8" w:space="0" w:color="auto"/>
              <w:right w:val="nil"/>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(I) socioeconomic class</w:t>
            </w:r>
          </w:p>
        </w:tc>
        <w:tc>
          <w:tcPr>
            <w:tcW w:w="2190" w:type="dxa"/>
            <w:vMerge w:val="restart"/>
            <w:tcBorders>
              <w:top w:val="single" w:sz="8" w:space="0" w:color="auto"/>
              <w:left w:val="nil"/>
              <w:bottom w:val="single" w:sz="8" w:space="0" w:color="auto"/>
              <w:right w:val="nil"/>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(J) socioeconomic class</w:t>
            </w:r>
          </w:p>
        </w:tc>
        <w:tc>
          <w:tcPr>
            <w:tcW w:w="1430" w:type="dxa"/>
            <w:vMerge w:val="restart"/>
            <w:tcBorders>
              <w:top w:val="single" w:sz="8" w:space="0" w:color="auto"/>
              <w:left w:val="single" w:sz="8" w:space="0" w:color="auto"/>
              <w:bottom w:val="single" w:sz="4" w:space="0" w:color="auto"/>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Mean Difference (I-J)</w:t>
            </w:r>
          </w:p>
        </w:tc>
        <w:tc>
          <w:tcPr>
            <w:tcW w:w="1120" w:type="dxa"/>
            <w:vMerge w:val="restart"/>
            <w:tcBorders>
              <w:top w:val="single" w:sz="8" w:space="0" w:color="auto"/>
              <w:left w:val="single" w:sz="4" w:space="0" w:color="auto"/>
              <w:bottom w:val="single" w:sz="4" w:space="0" w:color="auto"/>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Std. Error</w:t>
            </w:r>
          </w:p>
        </w:tc>
        <w:tc>
          <w:tcPr>
            <w:tcW w:w="820" w:type="dxa"/>
            <w:vMerge w:val="restart"/>
            <w:tcBorders>
              <w:top w:val="single" w:sz="8" w:space="0" w:color="auto"/>
              <w:left w:val="single" w:sz="4" w:space="0" w:color="auto"/>
              <w:bottom w:val="single" w:sz="4" w:space="0" w:color="auto"/>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P VALUE</w:t>
            </w:r>
          </w:p>
        </w:tc>
        <w:tc>
          <w:tcPr>
            <w:tcW w:w="2160" w:type="dxa"/>
            <w:gridSpan w:val="2"/>
            <w:tcBorders>
              <w:top w:val="single" w:sz="8" w:space="0" w:color="auto"/>
              <w:left w:val="nil"/>
              <w:bottom w:val="single" w:sz="4" w:space="0" w:color="auto"/>
              <w:right w:val="single" w:sz="8"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95% Confidence Interval</w:t>
            </w:r>
          </w:p>
        </w:tc>
      </w:tr>
      <w:tr w:rsidR="002837EE" w:rsidRPr="00A10480" w:rsidTr="002837EE">
        <w:trPr>
          <w:trHeight w:val="495"/>
        </w:trPr>
        <w:tc>
          <w:tcPr>
            <w:tcW w:w="2120" w:type="dxa"/>
            <w:vMerge/>
            <w:tcBorders>
              <w:top w:val="single" w:sz="8" w:space="0" w:color="auto"/>
              <w:left w:val="single" w:sz="8" w:space="0" w:color="auto"/>
              <w:bottom w:val="single" w:sz="8" w:space="0" w:color="auto"/>
              <w:right w:val="nil"/>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2190" w:type="dxa"/>
            <w:vMerge/>
            <w:tcBorders>
              <w:top w:val="single" w:sz="8" w:space="0" w:color="auto"/>
              <w:left w:val="nil"/>
              <w:bottom w:val="single" w:sz="8" w:space="0" w:color="auto"/>
              <w:right w:val="nil"/>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430" w:type="dxa"/>
            <w:vMerge/>
            <w:tcBorders>
              <w:top w:val="single" w:sz="8" w:space="0" w:color="auto"/>
              <w:left w:val="single" w:sz="8" w:space="0" w:color="auto"/>
              <w:bottom w:val="single" w:sz="4" w:space="0" w:color="auto"/>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120" w:type="dxa"/>
            <w:vMerge/>
            <w:tcBorders>
              <w:top w:val="single" w:sz="8" w:space="0" w:color="auto"/>
              <w:left w:val="single" w:sz="4" w:space="0" w:color="auto"/>
              <w:bottom w:val="single" w:sz="4" w:space="0" w:color="auto"/>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820" w:type="dxa"/>
            <w:vMerge/>
            <w:tcBorders>
              <w:top w:val="single" w:sz="8" w:space="0" w:color="auto"/>
              <w:left w:val="single" w:sz="4" w:space="0" w:color="auto"/>
              <w:bottom w:val="single" w:sz="4" w:space="0" w:color="auto"/>
              <w:right w:val="single" w:sz="4" w:space="0" w:color="000000"/>
            </w:tcBorders>
            <w:vAlign w:val="center"/>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p>
        </w:tc>
        <w:tc>
          <w:tcPr>
            <w:tcW w:w="1080" w:type="dxa"/>
            <w:tcBorders>
              <w:top w:val="nil"/>
              <w:left w:val="nil"/>
              <w:bottom w:val="nil"/>
              <w:right w:val="single" w:sz="4"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Lower Bound</w:t>
            </w:r>
          </w:p>
        </w:tc>
        <w:tc>
          <w:tcPr>
            <w:tcW w:w="1080" w:type="dxa"/>
            <w:tcBorders>
              <w:top w:val="nil"/>
              <w:left w:val="nil"/>
              <w:bottom w:val="nil"/>
              <w:right w:val="single" w:sz="8" w:space="0" w:color="000000"/>
            </w:tcBorders>
            <w:shd w:val="clear" w:color="auto" w:fill="auto"/>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Upper Bound</w:t>
            </w:r>
          </w:p>
        </w:tc>
      </w:tr>
      <w:tr w:rsidR="002837EE" w:rsidRPr="00A10480" w:rsidTr="002837EE">
        <w:trPr>
          <w:trHeight w:val="255"/>
        </w:trPr>
        <w:tc>
          <w:tcPr>
            <w:tcW w:w="2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2190" w:type="dxa"/>
            <w:tcBorders>
              <w:top w:val="single" w:sz="8" w:space="0" w:color="auto"/>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w:t>
            </w:r>
          </w:p>
        </w:tc>
        <w:tc>
          <w:tcPr>
            <w:tcW w:w="1430" w:type="dxa"/>
            <w:tcBorders>
              <w:top w:val="single" w:sz="8" w:space="0" w:color="auto"/>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-0.31</w:t>
            </w:r>
          </w:p>
        </w:tc>
        <w:tc>
          <w:tcPr>
            <w:tcW w:w="1120" w:type="dxa"/>
            <w:tcBorders>
              <w:top w:val="single" w:sz="8" w:space="0" w:color="auto"/>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0.283</w:t>
            </w:r>
          </w:p>
        </w:tc>
        <w:tc>
          <w:tcPr>
            <w:tcW w:w="820" w:type="dxa"/>
            <w:tcBorders>
              <w:top w:val="single" w:sz="8" w:space="0" w:color="auto"/>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0.815</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-1.08</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0.47</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-0.92</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0.281</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0.010</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-1.69</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-0.15</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-1.40</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0.278</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-2.16</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-0.64</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5</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-1.81</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0.279</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-2.58</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-1.05</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-0.61</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0.081</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-0.83</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-0.39</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-1.09</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0.070</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-1.28</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-0.9</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2</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5</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-1.51</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0.075</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-1.71</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-1.3</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-0.48</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0.060</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-0.64</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-0.32</w:t>
            </w:r>
          </w:p>
        </w:tc>
      </w:tr>
      <w:tr w:rsidR="002837EE" w:rsidRPr="00A10480" w:rsidTr="002837EE">
        <w:trPr>
          <w:trHeight w:val="25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3</w:t>
            </w:r>
          </w:p>
        </w:tc>
        <w:tc>
          <w:tcPr>
            <w:tcW w:w="219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5</w:t>
            </w:r>
          </w:p>
        </w:tc>
        <w:tc>
          <w:tcPr>
            <w:tcW w:w="143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-0.89</w:t>
            </w:r>
          </w:p>
        </w:tc>
        <w:tc>
          <w:tcPr>
            <w:tcW w:w="11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0.066</w:t>
            </w:r>
          </w:p>
        </w:tc>
        <w:tc>
          <w:tcPr>
            <w:tcW w:w="82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4"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-1.07</w:t>
            </w:r>
          </w:p>
        </w:tc>
        <w:tc>
          <w:tcPr>
            <w:tcW w:w="1080" w:type="dxa"/>
            <w:tcBorders>
              <w:top w:val="nil"/>
              <w:left w:val="nil"/>
              <w:bottom w:val="single" w:sz="4"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-0.72</w:t>
            </w:r>
          </w:p>
        </w:tc>
      </w:tr>
      <w:tr w:rsidR="002837EE" w:rsidRPr="00A10480" w:rsidTr="002837EE">
        <w:trPr>
          <w:trHeight w:val="270"/>
        </w:trPr>
        <w:tc>
          <w:tcPr>
            <w:tcW w:w="2120" w:type="dxa"/>
            <w:tcBorders>
              <w:top w:val="nil"/>
              <w:left w:val="single" w:sz="8" w:space="0" w:color="auto"/>
              <w:bottom w:val="single" w:sz="8"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4</w:t>
            </w:r>
          </w:p>
        </w:tc>
        <w:tc>
          <w:tcPr>
            <w:tcW w:w="2190" w:type="dxa"/>
            <w:tcBorders>
              <w:top w:val="nil"/>
              <w:left w:val="nil"/>
              <w:bottom w:val="single" w:sz="8"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5</w:t>
            </w:r>
          </w:p>
        </w:tc>
        <w:tc>
          <w:tcPr>
            <w:tcW w:w="1430" w:type="dxa"/>
            <w:tcBorders>
              <w:top w:val="nil"/>
              <w:left w:val="nil"/>
              <w:bottom w:val="single" w:sz="8"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-0.42</w:t>
            </w:r>
          </w:p>
        </w:tc>
        <w:tc>
          <w:tcPr>
            <w:tcW w:w="1120" w:type="dxa"/>
            <w:tcBorders>
              <w:top w:val="nil"/>
              <w:left w:val="nil"/>
              <w:bottom w:val="single" w:sz="8"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0.051</w:t>
            </w:r>
          </w:p>
        </w:tc>
        <w:tc>
          <w:tcPr>
            <w:tcW w:w="820" w:type="dxa"/>
            <w:tcBorders>
              <w:top w:val="nil"/>
              <w:left w:val="nil"/>
              <w:bottom w:val="single" w:sz="8"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&lt;0.001</w:t>
            </w:r>
          </w:p>
        </w:tc>
        <w:tc>
          <w:tcPr>
            <w:tcW w:w="1080" w:type="dxa"/>
            <w:tcBorders>
              <w:top w:val="nil"/>
              <w:left w:val="nil"/>
              <w:bottom w:val="single" w:sz="8" w:space="0" w:color="auto"/>
              <w:right w:val="single" w:sz="4"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-0.55</w:t>
            </w:r>
          </w:p>
        </w:tc>
        <w:tc>
          <w:tcPr>
            <w:tcW w:w="1080" w:type="dxa"/>
            <w:tcBorders>
              <w:top w:val="nil"/>
              <w:left w:val="nil"/>
              <w:bottom w:val="single" w:sz="8" w:space="0" w:color="auto"/>
              <w:right w:val="single" w:sz="8" w:space="0" w:color="auto"/>
            </w:tcBorders>
            <w:shd w:val="clear" w:color="auto" w:fill="auto"/>
            <w:noWrap/>
            <w:vAlign w:val="bottom"/>
            <w:hideMark/>
          </w:tcPr>
          <w:p w:rsidR="002837EE" w:rsidRPr="00A10480" w:rsidRDefault="002837EE" w:rsidP="00A10480">
            <w:pPr>
              <w:spacing w:after="0" w:line="360" w:lineRule="auto"/>
              <w:jc w:val="both"/>
              <w:rPr>
                <w:rFonts w:ascii="Times New Roman" w:eastAsia="Times New Roman" w:hAnsi="Times New Roman" w:cs="Times New Roman"/>
                <w:sz w:val="20"/>
                <w:szCs w:val="20"/>
                <w:lang w:bidi="gu-IN"/>
              </w:rPr>
            </w:pPr>
            <w:r w:rsidRPr="00A10480">
              <w:rPr>
                <w:rFonts w:ascii="Times New Roman" w:eastAsia="Times New Roman" w:hAnsi="Times New Roman" w:cs="Times New Roman"/>
                <w:sz w:val="20"/>
                <w:szCs w:val="20"/>
                <w:lang w:bidi="gu-IN"/>
              </w:rPr>
              <w:t>-0.28</w:t>
            </w:r>
          </w:p>
        </w:tc>
      </w:tr>
    </w:tbl>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p>
    <w:p w:rsidR="002837EE" w:rsidRPr="00A10480" w:rsidRDefault="002837EE" w:rsidP="00A10480">
      <w:pPr>
        <w:autoSpaceDE w:val="0"/>
        <w:autoSpaceDN w:val="0"/>
        <w:adjustRightInd w:val="0"/>
        <w:spacing w:after="0" w:line="360" w:lineRule="auto"/>
        <w:jc w:val="both"/>
        <w:rPr>
          <w:rFonts w:ascii="Times New Roman" w:hAnsi="Times New Roman" w:cs="Times New Roman"/>
          <w:sz w:val="20"/>
          <w:szCs w:val="20"/>
        </w:rPr>
      </w:pPr>
    </w:p>
    <w:p w:rsidR="00C72D8E" w:rsidRPr="00A10480" w:rsidRDefault="00C72D8E"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The mean difference between the CPI scores of Upper class and Lower class is highly significant, while there was no statistical significance between the scores of Upper Class and Upper Middle Class.  </w:t>
      </w:r>
    </w:p>
    <w:p w:rsidR="00514581" w:rsidRPr="00A10480" w:rsidRDefault="00514581"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The increasing mean CPI scores from Upper to Lower classes proves the association between periodontal status and socioeconomic status of patients.</w:t>
      </w:r>
    </w:p>
    <w:p w:rsidR="006D2AA1" w:rsidRPr="00A10480" w:rsidRDefault="006D2AA1" w:rsidP="00A10480">
      <w:pPr>
        <w:autoSpaceDE w:val="0"/>
        <w:autoSpaceDN w:val="0"/>
        <w:adjustRightInd w:val="0"/>
        <w:spacing w:after="0" w:line="360" w:lineRule="auto"/>
        <w:jc w:val="both"/>
        <w:rPr>
          <w:rFonts w:ascii="Times New Roman" w:hAnsi="Times New Roman" w:cs="Times New Roman"/>
          <w:sz w:val="20"/>
          <w:szCs w:val="20"/>
        </w:rPr>
      </w:pPr>
    </w:p>
    <w:p w:rsidR="00A10480" w:rsidRDefault="00A10480" w:rsidP="00A10480">
      <w:pPr>
        <w:autoSpaceDE w:val="0"/>
        <w:autoSpaceDN w:val="0"/>
        <w:adjustRightInd w:val="0"/>
        <w:spacing w:after="0" w:line="360" w:lineRule="auto"/>
        <w:jc w:val="both"/>
        <w:rPr>
          <w:rFonts w:ascii="Times New Roman" w:hAnsi="Times New Roman" w:cs="Times New Roman"/>
          <w:b/>
          <w:sz w:val="20"/>
          <w:szCs w:val="20"/>
        </w:rPr>
        <w:sectPr w:rsidR="00A10480" w:rsidSect="00A10480">
          <w:type w:val="continuous"/>
          <w:pgSz w:w="12240" w:h="15840"/>
          <w:pgMar w:top="1440" w:right="1440" w:bottom="1440" w:left="1440" w:header="720" w:footer="720" w:gutter="0"/>
          <w:cols w:space="720"/>
          <w:docGrid w:linePitch="360"/>
        </w:sectPr>
      </w:pPr>
    </w:p>
    <w:p w:rsidR="00981C4D" w:rsidRPr="00A10480" w:rsidRDefault="00981C4D" w:rsidP="00A10480">
      <w:pPr>
        <w:autoSpaceDE w:val="0"/>
        <w:autoSpaceDN w:val="0"/>
        <w:adjustRightInd w:val="0"/>
        <w:spacing w:after="0" w:line="360" w:lineRule="auto"/>
        <w:jc w:val="both"/>
        <w:rPr>
          <w:rFonts w:ascii="Times New Roman" w:hAnsi="Times New Roman" w:cs="Times New Roman"/>
          <w:b/>
          <w:sz w:val="20"/>
          <w:szCs w:val="20"/>
        </w:rPr>
      </w:pPr>
      <w:r w:rsidRPr="00A10480">
        <w:rPr>
          <w:rFonts w:ascii="Times New Roman" w:hAnsi="Times New Roman" w:cs="Times New Roman"/>
          <w:b/>
          <w:sz w:val="20"/>
          <w:szCs w:val="20"/>
        </w:rPr>
        <w:lastRenderedPageBreak/>
        <w:t>DISCUSSION:</w:t>
      </w:r>
    </w:p>
    <w:p w:rsidR="00B06B4A" w:rsidRPr="00A10480" w:rsidRDefault="003A5377"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It was suggested that</w:t>
      </w:r>
      <w:r w:rsidR="00D872BE" w:rsidRPr="00A10480">
        <w:rPr>
          <w:rFonts w:ascii="Times New Roman" w:eastAsia="Times New Roman" w:hAnsi="Times New Roman" w:cs="Times New Roman"/>
          <w:sz w:val="20"/>
          <w:szCs w:val="20"/>
        </w:rPr>
        <w:t xml:space="preserve"> there have been disparities in health status because it is seen that the lower strata groups have succumbed to more dangerous and health damaging behavior and may also have lesser interest in health maintenance for the future.E</w:t>
      </w:r>
      <w:r w:rsidRPr="00A10480">
        <w:rPr>
          <w:rFonts w:ascii="Times New Roman" w:eastAsia="Times New Roman" w:hAnsi="Times New Roman" w:cs="Times New Roman"/>
          <w:sz w:val="20"/>
          <w:szCs w:val="20"/>
        </w:rPr>
        <w:t>xcessive consumption of harmful commodities, certain foods, tobacco and alcohol and underutilization of preventive health care is implied to be harmful</w:t>
      </w:r>
      <w:r w:rsidR="00B06B4A" w:rsidRPr="00A10480">
        <w:rPr>
          <w:rFonts w:ascii="Times New Roman" w:eastAsia="Times New Roman" w:hAnsi="Times New Roman" w:cs="Times New Roman"/>
          <w:sz w:val="20"/>
          <w:szCs w:val="20"/>
          <w:vertAlign w:val="superscript"/>
        </w:rPr>
        <w:t>11</w:t>
      </w:r>
      <w:r w:rsidRPr="00A10480">
        <w:rPr>
          <w:rFonts w:ascii="Times New Roman" w:eastAsia="Times New Roman" w:hAnsi="Times New Roman" w:cs="Times New Roman"/>
          <w:sz w:val="20"/>
          <w:szCs w:val="20"/>
        </w:rPr>
        <w:t>.</w:t>
      </w:r>
      <w:r w:rsidR="00B06B4A" w:rsidRPr="00A10480">
        <w:rPr>
          <w:rFonts w:ascii="Times New Roman" w:eastAsia="Times New Roman" w:hAnsi="Times New Roman" w:cs="Times New Roman"/>
          <w:sz w:val="20"/>
          <w:szCs w:val="20"/>
        </w:rPr>
        <w:t xml:space="preserve"> These may be the possible </w:t>
      </w:r>
      <w:r w:rsidR="00B06B4A" w:rsidRPr="00A10480">
        <w:rPr>
          <w:rFonts w:ascii="Times New Roman" w:eastAsia="Times New Roman" w:hAnsi="Times New Roman" w:cs="Times New Roman"/>
          <w:sz w:val="20"/>
          <w:szCs w:val="20"/>
        </w:rPr>
        <w:lastRenderedPageBreak/>
        <w:t xml:space="preserve">explanations for this difference in the periodontal status among the subjects in different socioeconomic groups. </w:t>
      </w:r>
    </w:p>
    <w:p w:rsidR="000B4BC5" w:rsidRPr="00A10480" w:rsidRDefault="003A5377"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 xml:space="preserve"> It has been proposed that the distinct pattern of </w:t>
      </w:r>
      <w:r w:rsidR="005D38DF" w:rsidRPr="00A10480">
        <w:rPr>
          <w:rFonts w:ascii="Times New Roman" w:eastAsia="Times New Roman" w:hAnsi="Times New Roman" w:cs="Times New Roman"/>
          <w:sz w:val="20"/>
          <w:szCs w:val="20"/>
        </w:rPr>
        <w:t>behavior</w:t>
      </w:r>
      <w:r w:rsidRPr="00A10480">
        <w:rPr>
          <w:rFonts w:ascii="Times New Roman" w:eastAsia="Times New Roman" w:hAnsi="Times New Roman" w:cs="Times New Roman"/>
          <w:sz w:val="20"/>
          <w:szCs w:val="20"/>
        </w:rPr>
        <w:t>, knowledge and health attitudes within certain social groups is mainly related to educational level (Peterson 1990)</w:t>
      </w:r>
      <w:r w:rsidR="00B06B4A" w:rsidRPr="00A10480">
        <w:rPr>
          <w:rFonts w:ascii="Times New Roman" w:eastAsia="Times New Roman" w:hAnsi="Times New Roman" w:cs="Times New Roman"/>
          <w:sz w:val="20"/>
          <w:szCs w:val="20"/>
          <w:vertAlign w:val="superscript"/>
        </w:rPr>
        <w:t>12</w:t>
      </w:r>
      <w:r w:rsidRPr="00A10480">
        <w:rPr>
          <w:rFonts w:ascii="Times New Roman" w:eastAsia="Times New Roman" w:hAnsi="Times New Roman" w:cs="Times New Roman"/>
          <w:sz w:val="20"/>
          <w:szCs w:val="20"/>
        </w:rPr>
        <w:t xml:space="preserve">. Smoking is an evident risk factor for periodontal diseases. However, it is a fact that </w:t>
      </w:r>
      <w:r w:rsidR="00D872BE" w:rsidRPr="00A10480">
        <w:rPr>
          <w:rFonts w:ascii="Times New Roman" w:eastAsia="Times New Roman" w:hAnsi="Times New Roman" w:cs="Times New Roman"/>
          <w:sz w:val="20"/>
          <w:szCs w:val="20"/>
        </w:rPr>
        <w:t xml:space="preserve">there is a higher smoking frequency in people </w:t>
      </w:r>
      <w:r w:rsidR="00D872BE" w:rsidRPr="00A10480">
        <w:rPr>
          <w:rFonts w:ascii="Times New Roman" w:eastAsia="Times New Roman" w:hAnsi="Times New Roman" w:cs="Times New Roman"/>
          <w:sz w:val="20"/>
          <w:szCs w:val="20"/>
        </w:rPr>
        <w:lastRenderedPageBreak/>
        <w:t>with lower education compared to those with higher education</w:t>
      </w:r>
      <w:r w:rsidRPr="00A10480">
        <w:rPr>
          <w:rFonts w:ascii="Times New Roman" w:eastAsia="Times New Roman" w:hAnsi="Times New Roman" w:cs="Times New Roman"/>
          <w:sz w:val="20"/>
          <w:szCs w:val="20"/>
        </w:rPr>
        <w:t>(Tillgren et al 1996)</w:t>
      </w:r>
      <w:r w:rsidR="00B06B4A" w:rsidRPr="00A10480">
        <w:rPr>
          <w:rFonts w:ascii="Times New Roman" w:eastAsia="Times New Roman" w:hAnsi="Times New Roman" w:cs="Times New Roman"/>
          <w:sz w:val="20"/>
          <w:szCs w:val="20"/>
          <w:vertAlign w:val="superscript"/>
        </w:rPr>
        <w:t>13</w:t>
      </w:r>
      <w:r w:rsidRPr="00A10480">
        <w:rPr>
          <w:rFonts w:ascii="Times New Roman" w:eastAsia="Times New Roman" w:hAnsi="Times New Roman" w:cs="Times New Roman"/>
          <w:sz w:val="20"/>
          <w:szCs w:val="20"/>
        </w:rPr>
        <w:t xml:space="preserve">. </w:t>
      </w:r>
    </w:p>
    <w:p w:rsidR="000B7FB1" w:rsidRPr="00A10480" w:rsidRDefault="002C222A"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The most important indicators</w:t>
      </w:r>
      <w:r w:rsidR="00F20161" w:rsidRPr="00A10480">
        <w:rPr>
          <w:rFonts w:ascii="Times New Roman" w:eastAsia="Times New Roman" w:hAnsi="Times New Roman" w:cs="Times New Roman"/>
          <w:sz w:val="20"/>
          <w:szCs w:val="20"/>
        </w:rPr>
        <w:t xml:space="preserve"> of socioeconomic status</w:t>
      </w:r>
      <w:r w:rsidRPr="00A10480">
        <w:rPr>
          <w:rFonts w:ascii="Times New Roman" w:eastAsia="Times New Roman" w:hAnsi="Times New Roman" w:cs="Times New Roman"/>
          <w:sz w:val="20"/>
          <w:szCs w:val="20"/>
        </w:rPr>
        <w:t xml:space="preserve"> are occupational status, income and level of education. </w:t>
      </w:r>
      <w:r w:rsidR="00F20161" w:rsidRPr="00A10480">
        <w:rPr>
          <w:rFonts w:ascii="Times New Roman" w:eastAsia="Times New Roman" w:hAnsi="Times New Roman" w:cs="Times New Roman"/>
          <w:sz w:val="20"/>
          <w:szCs w:val="20"/>
        </w:rPr>
        <w:t>There are different aspects of social stratification of each indicator and this it is advisable to use all the three instead of any one</w:t>
      </w:r>
      <w:r w:rsidR="00A9473C" w:rsidRPr="00A10480">
        <w:rPr>
          <w:rFonts w:ascii="Times New Roman" w:eastAsia="Times New Roman" w:hAnsi="Times New Roman" w:cs="Times New Roman"/>
          <w:sz w:val="20"/>
          <w:szCs w:val="20"/>
          <w:vertAlign w:val="superscript"/>
        </w:rPr>
        <w:t>6</w:t>
      </w:r>
      <w:r w:rsidR="00F20161" w:rsidRPr="00A10480">
        <w:rPr>
          <w:rFonts w:ascii="Times New Roman" w:eastAsia="Times New Roman" w:hAnsi="Times New Roman" w:cs="Times New Roman"/>
          <w:sz w:val="20"/>
          <w:szCs w:val="20"/>
        </w:rPr>
        <w:t xml:space="preserve">. </w:t>
      </w:r>
      <w:r w:rsidRPr="00A10480">
        <w:rPr>
          <w:rFonts w:ascii="Times New Roman" w:eastAsia="Times New Roman" w:hAnsi="Times New Roman" w:cs="Times New Roman"/>
          <w:sz w:val="20"/>
          <w:szCs w:val="20"/>
        </w:rPr>
        <w:t xml:space="preserve">Often, information on education, occupation and income may be unavailable and being necessary to use proxy measures of socioeconomic status such as indicators of living standards (car ownership) which reflect the financial </w:t>
      </w:r>
      <w:r w:rsidR="00A9473C" w:rsidRPr="00A10480">
        <w:rPr>
          <w:rFonts w:ascii="Times New Roman" w:eastAsia="Times New Roman" w:hAnsi="Times New Roman" w:cs="Times New Roman"/>
          <w:sz w:val="20"/>
          <w:szCs w:val="20"/>
        </w:rPr>
        <w:t>support of the individual</w:t>
      </w:r>
      <w:r w:rsidR="00A9473C" w:rsidRPr="00A10480">
        <w:rPr>
          <w:rFonts w:ascii="Times New Roman" w:eastAsia="Times New Roman" w:hAnsi="Times New Roman" w:cs="Times New Roman"/>
          <w:sz w:val="20"/>
          <w:szCs w:val="20"/>
          <w:vertAlign w:val="superscript"/>
        </w:rPr>
        <w:t>14</w:t>
      </w:r>
      <w:r w:rsidRPr="00A10480">
        <w:rPr>
          <w:rFonts w:ascii="Times New Roman" w:eastAsia="Times New Roman" w:hAnsi="Times New Roman" w:cs="Times New Roman"/>
          <w:sz w:val="20"/>
          <w:szCs w:val="20"/>
        </w:rPr>
        <w:t>.</w:t>
      </w:r>
    </w:p>
    <w:p w:rsidR="002D5A52" w:rsidRPr="00A10480" w:rsidRDefault="002D5A52"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Occupational status is relevant and the place of an individual in the society is determined by it</w:t>
      </w:r>
      <w:r w:rsidR="002C222A" w:rsidRPr="00A10480">
        <w:rPr>
          <w:rFonts w:ascii="Times New Roman" w:eastAsia="Times New Roman" w:hAnsi="Times New Roman" w:cs="Times New Roman"/>
          <w:sz w:val="20"/>
          <w:szCs w:val="20"/>
        </w:rPr>
        <w:t>. The most usual approach consists of classifying people based on their position in the labor market into a number of discrete gro</w:t>
      </w:r>
      <w:r w:rsidR="005930F6" w:rsidRPr="00A10480">
        <w:rPr>
          <w:rFonts w:ascii="Times New Roman" w:eastAsia="Times New Roman" w:hAnsi="Times New Roman" w:cs="Times New Roman"/>
          <w:sz w:val="20"/>
          <w:szCs w:val="20"/>
        </w:rPr>
        <w:t>ups or social classes</w:t>
      </w:r>
      <w:r w:rsidR="002C222A" w:rsidRPr="00A10480">
        <w:rPr>
          <w:rFonts w:ascii="Times New Roman" w:eastAsia="Times New Roman" w:hAnsi="Times New Roman" w:cs="Times New Roman"/>
          <w:sz w:val="20"/>
          <w:szCs w:val="20"/>
        </w:rPr>
        <w:t>. Children are classified according to the occupation of their paren</w:t>
      </w:r>
      <w:r w:rsidR="004219EA" w:rsidRPr="00A10480">
        <w:rPr>
          <w:rFonts w:ascii="Times New Roman" w:eastAsia="Times New Roman" w:hAnsi="Times New Roman" w:cs="Times New Roman"/>
          <w:sz w:val="20"/>
          <w:szCs w:val="20"/>
        </w:rPr>
        <w:t>ts</w:t>
      </w:r>
      <w:r w:rsidR="00A9473C" w:rsidRPr="00A10480">
        <w:rPr>
          <w:rFonts w:ascii="Times New Roman" w:eastAsia="Times New Roman" w:hAnsi="Times New Roman" w:cs="Times New Roman"/>
          <w:sz w:val="20"/>
          <w:szCs w:val="20"/>
          <w:vertAlign w:val="superscript"/>
        </w:rPr>
        <w:t>15</w:t>
      </w:r>
      <w:r w:rsidR="002C222A" w:rsidRPr="00A10480">
        <w:rPr>
          <w:rFonts w:ascii="Times New Roman" w:eastAsia="Times New Roman" w:hAnsi="Times New Roman" w:cs="Times New Roman"/>
          <w:sz w:val="20"/>
          <w:szCs w:val="20"/>
        </w:rPr>
        <w:t>. Income is a</w:t>
      </w:r>
      <w:r w:rsidRPr="00A10480">
        <w:rPr>
          <w:rFonts w:ascii="Times New Roman" w:eastAsia="Times New Roman" w:hAnsi="Times New Roman" w:cs="Times New Roman"/>
          <w:sz w:val="20"/>
          <w:szCs w:val="20"/>
        </w:rPr>
        <w:t>lso a frequently used parameter</w:t>
      </w:r>
      <w:r w:rsidR="002C222A" w:rsidRPr="00A10480">
        <w:rPr>
          <w:rFonts w:ascii="Times New Roman" w:eastAsia="Times New Roman" w:hAnsi="Times New Roman" w:cs="Times New Roman"/>
          <w:sz w:val="20"/>
          <w:szCs w:val="20"/>
        </w:rPr>
        <w:t xml:space="preserve"> to me</w:t>
      </w:r>
      <w:r w:rsidRPr="00A10480">
        <w:rPr>
          <w:rFonts w:ascii="Times New Roman" w:eastAsia="Times New Roman" w:hAnsi="Times New Roman" w:cs="Times New Roman"/>
          <w:sz w:val="20"/>
          <w:szCs w:val="20"/>
        </w:rPr>
        <w:t>asure the socio-economic status.</w:t>
      </w:r>
      <w:r w:rsidR="002C222A" w:rsidRPr="00A10480">
        <w:rPr>
          <w:rFonts w:ascii="Times New Roman" w:eastAsia="Times New Roman" w:hAnsi="Times New Roman" w:cs="Times New Roman"/>
          <w:sz w:val="20"/>
          <w:szCs w:val="20"/>
        </w:rPr>
        <w:t xml:space="preserve"> The current income of the individual </w:t>
      </w:r>
      <w:r w:rsidRPr="00A10480">
        <w:rPr>
          <w:rFonts w:ascii="Times New Roman" w:eastAsia="Times New Roman" w:hAnsi="Times New Roman" w:cs="Times New Roman"/>
          <w:sz w:val="20"/>
          <w:szCs w:val="20"/>
        </w:rPr>
        <w:t>depicts the direct appreciation of the living condition, healthy and unhealthy habits and behavior, also it is a reflection of the position the individual holds in the society.</w:t>
      </w:r>
    </w:p>
    <w:p w:rsidR="002C222A" w:rsidRPr="00A10480" w:rsidRDefault="002C222A"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Inequalities generated by income are associated with differences in mortality and morbidity rates, inc</w:t>
      </w:r>
      <w:r w:rsidR="00A9473C" w:rsidRPr="00A10480">
        <w:rPr>
          <w:rFonts w:ascii="Times New Roman" w:eastAsia="Times New Roman" w:hAnsi="Times New Roman" w:cs="Times New Roman"/>
          <w:sz w:val="20"/>
          <w:szCs w:val="20"/>
        </w:rPr>
        <w:t>luding oral health diseases</w:t>
      </w:r>
      <w:r w:rsidR="00A9473C" w:rsidRPr="00A10480">
        <w:rPr>
          <w:rFonts w:ascii="Times New Roman" w:eastAsia="Times New Roman" w:hAnsi="Times New Roman" w:cs="Times New Roman"/>
          <w:sz w:val="20"/>
          <w:szCs w:val="20"/>
          <w:vertAlign w:val="superscript"/>
        </w:rPr>
        <w:t>16</w:t>
      </w:r>
      <w:r w:rsidRPr="00A10480">
        <w:rPr>
          <w:rFonts w:ascii="Times New Roman" w:eastAsia="Times New Roman" w:hAnsi="Times New Roman" w:cs="Times New Roman"/>
          <w:sz w:val="20"/>
          <w:szCs w:val="20"/>
        </w:rPr>
        <w:t xml:space="preserve">. High incomes permit the access to good oral health services, a good environment for health and offer the opportunity to adopt appropriate oral </w:t>
      </w:r>
      <w:r w:rsidR="00A9473C" w:rsidRPr="00A10480">
        <w:rPr>
          <w:rFonts w:ascii="Times New Roman" w:eastAsia="Times New Roman" w:hAnsi="Times New Roman" w:cs="Times New Roman"/>
          <w:sz w:val="20"/>
          <w:szCs w:val="20"/>
        </w:rPr>
        <w:t>health behavior</w:t>
      </w:r>
      <w:r w:rsidR="00A9473C" w:rsidRPr="00A10480">
        <w:rPr>
          <w:rFonts w:ascii="Times New Roman" w:eastAsia="Times New Roman" w:hAnsi="Times New Roman" w:cs="Times New Roman"/>
          <w:sz w:val="20"/>
          <w:szCs w:val="20"/>
          <w:vertAlign w:val="superscript"/>
        </w:rPr>
        <w:t>14</w:t>
      </w:r>
      <w:r w:rsidRPr="00A10480">
        <w:rPr>
          <w:rFonts w:ascii="Times New Roman" w:eastAsia="Times New Roman" w:hAnsi="Times New Roman" w:cs="Times New Roman"/>
          <w:sz w:val="20"/>
          <w:szCs w:val="20"/>
        </w:rPr>
        <w:t>. All adults can be evaluatedaccording to the level of education,which is significantly different fromthe occupation. More, the level ofeducation remain fixed for themajority of persons older than 25years and unlike the income, it is notinf</w:t>
      </w:r>
      <w:r w:rsidR="00A9473C" w:rsidRPr="00A10480">
        <w:rPr>
          <w:rFonts w:ascii="Times New Roman" w:eastAsia="Times New Roman" w:hAnsi="Times New Roman" w:cs="Times New Roman"/>
          <w:sz w:val="20"/>
          <w:szCs w:val="20"/>
        </w:rPr>
        <w:t>luenced by the health status</w:t>
      </w:r>
      <w:r w:rsidR="00A9473C" w:rsidRPr="00A10480">
        <w:rPr>
          <w:rFonts w:ascii="Times New Roman" w:eastAsia="Times New Roman" w:hAnsi="Times New Roman" w:cs="Times New Roman"/>
          <w:sz w:val="20"/>
          <w:szCs w:val="20"/>
          <w:vertAlign w:val="superscript"/>
        </w:rPr>
        <w:t>15</w:t>
      </w:r>
      <w:r w:rsidRPr="00A10480">
        <w:rPr>
          <w:rFonts w:ascii="Times New Roman" w:eastAsia="Times New Roman" w:hAnsi="Times New Roman" w:cs="Times New Roman"/>
          <w:sz w:val="20"/>
          <w:szCs w:val="20"/>
        </w:rPr>
        <w:t xml:space="preserve">.Information in education is used todistinguish people with a high positionin the social hierarchy </w:t>
      </w:r>
      <w:r w:rsidRPr="00A10480">
        <w:rPr>
          <w:rFonts w:ascii="Times New Roman" w:eastAsia="Times New Roman" w:hAnsi="Times New Roman" w:cs="Times New Roman"/>
          <w:sz w:val="20"/>
          <w:szCs w:val="20"/>
        </w:rPr>
        <w:lastRenderedPageBreak/>
        <w:t>from those witha low position.Characteristically, the level ofeducation is appreciated according tothe number of years spent by anindividual in an educational institution(primary, school, secondary school,high school, faculty, post-university</w:t>
      </w:r>
      <w:r w:rsidR="003B69A8" w:rsidRPr="00A10480">
        <w:rPr>
          <w:rFonts w:ascii="Times New Roman" w:eastAsia="Times New Roman" w:hAnsi="Times New Roman" w:cs="Times New Roman"/>
          <w:sz w:val="20"/>
          <w:szCs w:val="20"/>
        </w:rPr>
        <w:t xml:space="preserve"> studies).</w:t>
      </w:r>
    </w:p>
    <w:p w:rsidR="000B4BC5" w:rsidRPr="00A10480" w:rsidRDefault="009C6E9C"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Demetriou et al (1995) in a retrospective study assessed t</w:t>
      </w:r>
      <w:r w:rsidR="000B4BC5" w:rsidRPr="00A10480">
        <w:rPr>
          <w:rFonts w:ascii="Times New Roman" w:eastAsia="Times New Roman" w:hAnsi="Times New Roman" w:cs="Times New Roman"/>
          <w:sz w:val="20"/>
          <w:szCs w:val="20"/>
        </w:rPr>
        <w:t>he compliance to supportive periodontal treatment for different socio-economic classes at one private dental office in Athens. Patients in the highest social class had the highest com</w:t>
      </w:r>
      <w:r w:rsidRPr="00A10480">
        <w:rPr>
          <w:rFonts w:ascii="Times New Roman" w:eastAsia="Times New Roman" w:hAnsi="Times New Roman" w:cs="Times New Roman"/>
          <w:sz w:val="20"/>
          <w:szCs w:val="20"/>
        </w:rPr>
        <w:t xml:space="preserve">pliance rate after 8 years, </w:t>
      </w:r>
      <w:r w:rsidR="000B4BC5" w:rsidRPr="00A10480">
        <w:rPr>
          <w:rFonts w:ascii="Times New Roman" w:eastAsia="Times New Roman" w:hAnsi="Times New Roman" w:cs="Times New Roman"/>
          <w:sz w:val="20"/>
          <w:szCs w:val="20"/>
        </w:rPr>
        <w:t xml:space="preserve"> 61.5%, compared with 41.4% for the lowest social class (p&lt;0.017)</w:t>
      </w:r>
      <w:r w:rsidR="000B7FB1" w:rsidRPr="00A10480">
        <w:rPr>
          <w:rFonts w:ascii="Times New Roman" w:eastAsia="Times New Roman" w:hAnsi="Times New Roman" w:cs="Times New Roman"/>
          <w:sz w:val="20"/>
          <w:szCs w:val="20"/>
          <w:vertAlign w:val="superscript"/>
        </w:rPr>
        <w:t>17</w:t>
      </w:r>
      <w:r w:rsidR="000B4BC5" w:rsidRPr="00A10480">
        <w:rPr>
          <w:rFonts w:ascii="Times New Roman" w:eastAsia="Times New Roman" w:hAnsi="Times New Roman" w:cs="Times New Roman"/>
          <w:sz w:val="20"/>
          <w:szCs w:val="20"/>
        </w:rPr>
        <w:t>.</w:t>
      </w:r>
    </w:p>
    <w:p w:rsidR="00EF247D" w:rsidRPr="00A10480" w:rsidRDefault="00EF247D"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The influence of socioeco</w:t>
      </w:r>
      <w:r w:rsidR="00373A57" w:rsidRPr="00A10480">
        <w:rPr>
          <w:rFonts w:ascii="Times New Roman" w:eastAsia="Times New Roman" w:hAnsi="Times New Roman" w:cs="Times New Roman"/>
          <w:sz w:val="20"/>
          <w:szCs w:val="20"/>
        </w:rPr>
        <w:t>no</w:t>
      </w:r>
      <w:r w:rsidRPr="00A10480">
        <w:rPr>
          <w:rFonts w:ascii="Times New Roman" w:eastAsia="Times New Roman" w:hAnsi="Times New Roman" w:cs="Times New Roman"/>
          <w:sz w:val="20"/>
          <w:szCs w:val="20"/>
        </w:rPr>
        <w:t xml:space="preserve">mic factors </w:t>
      </w:r>
      <w:r w:rsidR="00373A57" w:rsidRPr="00A10480">
        <w:rPr>
          <w:rFonts w:ascii="Times New Roman" w:eastAsia="Times New Roman" w:hAnsi="Times New Roman" w:cs="Times New Roman"/>
          <w:sz w:val="20"/>
          <w:szCs w:val="20"/>
        </w:rPr>
        <w:t>on the oral health status of peo</w:t>
      </w:r>
      <w:r w:rsidRPr="00A10480">
        <w:rPr>
          <w:rFonts w:ascii="Times New Roman" w:eastAsia="Times New Roman" w:hAnsi="Times New Roman" w:cs="Times New Roman"/>
          <w:sz w:val="20"/>
          <w:szCs w:val="20"/>
        </w:rPr>
        <w:t>ple</w:t>
      </w:r>
      <w:r w:rsidR="00373A57" w:rsidRPr="00A10480">
        <w:rPr>
          <w:rFonts w:ascii="Times New Roman" w:eastAsia="Times New Roman" w:hAnsi="Times New Roman" w:cs="Times New Roman"/>
          <w:sz w:val="20"/>
          <w:szCs w:val="20"/>
        </w:rPr>
        <w:t xml:space="preserve"> in South A</w:t>
      </w:r>
      <w:r w:rsidR="000B7FB1" w:rsidRPr="00A10480">
        <w:rPr>
          <w:rFonts w:ascii="Times New Roman" w:eastAsia="Times New Roman" w:hAnsi="Times New Roman" w:cs="Times New Roman"/>
          <w:sz w:val="20"/>
          <w:szCs w:val="20"/>
        </w:rPr>
        <w:t>fr</w:t>
      </w:r>
      <w:r w:rsidR="00373A57" w:rsidRPr="00A10480">
        <w:rPr>
          <w:rFonts w:ascii="Times New Roman" w:eastAsia="Times New Roman" w:hAnsi="Times New Roman" w:cs="Times New Roman"/>
          <w:sz w:val="20"/>
          <w:szCs w:val="20"/>
        </w:rPr>
        <w:t>i</w:t>
      </w:r>
      <w:r w:rsidR="000B7FB1" w:rsidRPr="00A10480">
        <w:rPr>
          <w:rFonts w:ascii="Times New Roman" w:eastAsia="Times New Roman" w:hAnsi="Times New Roman" w:cs="Times New Roman"/>
          <w:sz w:val="20"/>
          <w:szCs w:val="20"/>
        </w:rPr>
        <w:t>ca was studied by G</w:t>
      </w:r>
      <w:r w:rsidRPr="00A10480">
        <w:rPr>
          <w:rFonts w:ascii="Times New Roman" w:eastAsia="Times New Roman" w:hAnsi="Times New Roman" w:cs="Times New Roman"/>
          <w:sz w:val="20"/>
          <w:szCs w:val="20"/>
        </w:rPr>
        <w:t>ugushe in 1998-99, and a positive relation was found between the socioeco</w:t>
      </w:r>
      <w:r w:rsidR="00373A57" w:rsidRPr="00A10480">
        <w:rPr>
          <w:rFonts w:ascii="Times New Roman" w:eastAsia="Times New Roman" w:hAnsi="Times New Roman" w:cs="Times New Roman"/>
          <w:sz w:val="20"/>
          <w:szCs w:val="20"/>
        </w:rPr>
        <w:t>no</w:t>
      </w:r>
      <w:r w:rsidRPr="00A10480">
        <w:rPr>
          <w:rFonts w:ascii="Times New Roman" w:eastAsia="Times New Roman" w:hAnsi="Times New Roman" w:cs="Times New Roman"/>
          <w:sz w:val="20"/>
          <w:szCs w:val="20"/>
        </w:rPr>
        <w:t>mic variables and the periodontal status</w:t>
      </w:r>
      <w:r w:rsidR="000B7FB1" w:rsidRPr="00A10480">
        <w:rPr>
          <w:rFonts w:ascii="Times New Roman" w:eastAsia="Times New Roman" w:hAnsi="Times New Roman" w:cs="Times New Roman"/>
          <w:sz w:val="20"/>
          <w:szCs w:val="20"/>
          <w:vertAlign w:val="superscript"/>
        </w:rPr>
        <w:t>18</w:t>
      </w:r>
      <w:r w:rsidRPr="00A10480">
        <w:rPr>
          <w:rFonts w:ascii="Times New Roman" w:eastAsia="Times New Roman" w:hAnsi="Times New Roman" w:cs="Times New Roman"/>
          <w:sz w:val="20"/>
          <w:szCs w:val="20"/>
        </w:rPr>
        <w:t>.</w:t>
      </w:r>
      <w:r w:rsidR="004219EA" w:rsidRPr="00A10480">
        <w:rPr>
          <w:rFonts w:ascii="Times New Roman" w:eastAsia="Times New Roman" w:hAnsi="Times New Roman" w:cs="Times New Roman"/>
          <w:sz w:val="20"/>
          <w:szCs w:val="20"/>
        </w:rPr>
        <w:t>Brodeur et al in 2000, proved the association between</w:t>
      </w:r>
      <w:r w:rsidR="00EB13D5" w:rsidRPr="00A10480">
        <w:rPr>
          <w:rFonts w:ascii="Times New Roman" w:eastAsia="Times New Roman" w:hAnsi="Times New Roman" w:cs="Times New Roman"/>
          <w:sz w:val="20"/>
          <w:szCs w:val="20"/>
        </w:rPr>
        <w:t xml:space="preserve"> inequalities in income and</w:t>
      </w:r>
      <w:r w:rsidR="004219EA" w:rsidRPr="00A10480">
        <w:rPr>
          <w:rFonts w:ascii="Times New Roman" w:eastAsia="Times New Roman" w:hAnsi="Times New Roman" w:cs="Times New Roman"/>
          <w:sz w:val="20"/>
          <w:szCs w:val="20"/>
        </w:rPr>
        <w:t xml:space="preserve"> education and missing teeth,</w:t>
      </w:r>
      <w:r w:rsidR="00EB13D5" w:rsidRPr="00A10480">
        <w:rPr>
          <w:rFonts w:ascii="Times New Roman" w:eastAsia="Times New Roman" w:hAnsi="Times New Roman" w:cs="Times New Roman"/>
          <w:sz w:val="20"/>
          <w:szCs w:val="20"/>
        </w:rPr>
        <w:t xml:space="preserve"> decayed and filled coron</w:t>
      </w:r>
      <w:r w:rsidR="004219EA" w:rsidRPr="00A10480">
        <w:rPr>
          <w:rFonts w:ascii="Times New Roman" w:eastAsia="Times New Roman" w:hAnsi="Times New Roman" w:cs="Times New Roman"/>
          <w:sz w:val="20"/>
          <w:szCs w:val="20"/>
        </w:rPr>
        <w:t>al surfaces</w:t>
      </w:r>
      <w:r w:rsidR="008129A8" w:rsidRPr="00A10480">
        <w:rPr>
          <w:rFonts w:ascii="Times New Roman" w:eastAsia="Times New Roman" w:hAnsi="Times New Roman" w:cs="Times New Roman"/>
          <w:sz w:val="20"/>
          <w:szCs w:val="20"/>
          <w:vertAlign w:val="superscript"/>
        </w:rPr>
        <w:t>19</w:t>
      </w:r>
      <w:r w:rsidR="00EB13D5" w:rsidRPr="00A10480">
        <w:rPr>
          <w:rFonts w:ascii="Times New Roman" w:eastAsia="Times New Roman" w:hAnsi="Times New Roman" w:cs="Times New Roman"/>
          <w:sz w:val="20"/>
          <w:szCs w:val="20"/>
        </w:rPr>
        <w:t>. However, none of these studies used national representative data, whic</w:t>
      </w:r>
      <w:r w:rsidR="00BD2978" w:rsidRPr="00A10480">
        <w:rPr>
          <w:rFonts w:ascii="Times New Roman" w:eastAsia="Times New Roman" w:hAnsi="Times New Roman" w:cs="Times New Roman"/>
          <w:sz w:val="20"/>
          <w:szCs w:val="20"/>
        </w:rPr>
        <w:t>h limits their generalizability</w:t>
      </w:r>
      <w:r w:rsidR="00EB13D5" w:rsidRPr="00A10480">
        <w:rPr>
          <w:rFonts w:ascii="Times New Roman" w:eastAsia="Times New Roman" w:hAnsi="Times New Roman" w:cs="Times New Roman"/>
          <w:sz w:val="20"/>
          <w:szCs w:val="20"/>
        </w:rPr>
        <w:t xml:space="preserve">. </w:t>
      </w:r>
      <w:r w:rsidR="004219EA" w:rsidRPr="00A10480">
        <w:rPr>
          <w:rFonts w:ascii="Times New Roman" w:eastAsia="Times New Roman" w:hAnsi="Times New Roman" w:cs="Times New Roman"/>
          <w:sz w:val="20"/>
          <w:szCs w:val="20"/>
        </w:rPr>
        <w:t>Even changes have been reported in t</w:t>
      </w:r>
      <w:r w:rsidR="00EB13D5" w:rsidRPr="00A10480">
        <w:rPr>
          <w:rFonts w:ascii="Times New Roman" w:eastAsia="Times New Roman" w:hAnsi="Times New Roman" w:cs="Times New Roman"/>
          <w:sz w:val="20"/>
          <w:szCs w:val="20"/>
        </w:rPr>
        <w:t>he prevalence of periodontitis has been shown to differ by race/ethnicity, income, and education (Borrell and Crawford, 2008)</w:t>
      </w:r>
      <w:r w:rsidR="008129A8" w:rsidRPr="00A10480">
        <w:rPr>
          <w:rFonts w:ascii="Times New Roman" w:eastAsia="Times New Roman" w:hAnsi="Times New Roman" w:cs="Times New Roman"/>
          <w:sz w:val="20"/>
          <w:szCs w:val="20"/>
          <w:vertAlign w:val="superscript"/>
        </w:rPr>
        <w:t>20</w:t>
      </w:r>
      <w:r w:rsidR="00EB13D5" w:rsidRPr="00A10480">
        <w:rPr>
          <w:rFonts w:ascii="Times New Roman" w:eastAsia="Times New Roman" w:hAnsi="Times New Roman" w:cs="Times New Roman"/>
          <w:sz w:val="20"/>
          <w:szCs w:val="20"/>
        </w:rPr>
        <w:t xml:space="preserve">. </w:t>
      </w:r>
      <w:r w:rsidR="004219EA" w:rsidRPr="00A10480">
        <w:rPr>
          <w:rFonts w:ascii="Times New Roman" w:eastAsia="Times New Roman" w:hAnsi="Times New Roman" w:cs="Times New Roman"/>
          <w:sz w:val="20"/>
          <w:szCs w:val="20"/>
        </w:rPr>
        <w:t>Low education and low income groups have been reported to possess worse</w:t>
      </w:r>
      <w:r w:rsidR="00EB13D5" w:rsidRPr="00A10480">
        <w:rPr>
          <w:rFonts w:ascii="Times New Roman" w:eastAsia="Times New Roman" w:hAnsi="Times New Roman" w:cs="Times New Roman"/>
          <w:sz w:val="20"/>
          <w:szCs w:val="20"/>
        </w:rPr>
        <w:t xml:space="preserve"> o</w:t>
      </w:r>
      <w:r w:rsidR="005C5AA7" w:rsidRPr="00A10480">
        <w:rPr>
          <w:rFonts w:ascii="Times New Roman" w:eastAsia="Times New Roman" w:hAnsi="Times New Roman" w:cs="Times New Roman"/>
          <w:sz w:val="20"/>
          <w:szCs w:val="20"/>
        </w:rPr>
        <w:t xml:space="preserve">ral health </w:t>
      </w:r>
      <w:r w:rsidR="00EB13D5" w:rsidRPr="00A10480">
        <w:rPr>
          <w:rFonts w:ascii="Times New Roman" w:eastAsia="Times New Roman" w:hAnsi="Times New Roman" w:cs="Times New Roman"/>
          <w:sz w:val="20"/>
          <w:szCs w:val="20"/>
        </w:rPr>
        <w:t>(Sabbah et al., 2007)</w:t>
      </w:r>
      <w:r w:rsidR="008129A8" w:rsidRPr="00A10480">
        <w:rPr>
          <w:rFonts w:ascii="Times New Roman" w:eastAsia="Times New Roman" w:hAnsi="Times New Roman" w:cs="Times New Roman"/>
          <w:sz w:val="20"/>
          <w:szCs w:val="20"/>
          <w:vertAlign w:val="superscript"/>
        </w:rPr>
        <w:t>21</w:t>
      </w:r>
      <w:r w:rsidR="005C5AA7" w:rsidRPr="00A10480">
        <w:rPr>
          <w:rFonts w:ascii="Times New Roman" w:eastAsia="Times New Roman" w:hAnsi="Times New Roman" w:cs="Times New Roman"/>
          <w:sz w:val="20"/>
          <w:szCs w:val="20"/>
        </w:rPr>
        <w:t>.</w:t>
      </w:r>
    </w:p>
    <w:p w:rsidR="000B4BC5" w:rsidRPr="00A10480" w:rsidRDefault="00373A57" w:rsidP="00A10480">
      <w:pPr>
        <w:autoSpaceDE w:val="0"/>
        <w:autoSpaceDN w:val="0"/>
        <w:adjustRightInd w:val="0"/>
        <w:spacing w:after="0" w:line="360" w:lineRule="auto"/>
        <w:jc w:val="both"/>
        <w:rPr>
          <w:rFonts w:ascii="Times New Roman" w:eastAsia="Times New Roman" w:hAnsi="Times New Roman" w:cs="Times New Roman"/>
          <w:sz w:val="20"/>
          <w:szCs w:val="20"/>
        </w:rPr>
      </w:pPr>
      <w:r w:rsidRPr="00A10480">
        <w:rPr>
          <w:rFonts w:ascii="Times New Roman" w:eastAsia="Times New Roman" w:hAnsi="Times New Roman" w:cs="Times New Roman"/>
          <w:sz w:val="20"/>
          <w:szCs w:val="20"/>
        </w:rPr>
        <w:t>In a cross sectional study including s</w:t>
      </w:r>
      <w:r w:rsidR="000B4BC5" w:rsidRPr="00A10480">
        <w:rPr>
          <w:rFonts w:ascii="Times New Roman" w:eastAsia="Times New Roman" w:hAnsi="Times New Roman" w:cs="Times New Roman"/>
          <w:sz w:val="20"/>
          <w:szCs w:val="20"/>
        </w:rPr>
        <w:t>ocio-demographic risk indicators of</w:t>
      </w:r>
      <w:r w:rsidRPr="00A10480">
        <w:rPr>
          <w:rFonts w:ascii="Times New Roman" w:eastAsia="Times New Roman" w:hAnsi="Times New Roman" w:cs="Times New Roman"/>
          <w:sz w:val="20"/>
          <w:szCs w:val="20"/>
        </w:rPr>
        <w:t xml:space="preserve"> attachment loss</w:t>
      </w:r>
      <w:r w:rsidR="000B4BC5" w:rsidRPr="00A10480">
        <w:rPr>
          <w:rFonts w:ascii="Times New Roman" w:eastAsia="Times New Roman" w:hAnsi="Times New Roman" w:cs="Times New Roman"/>
          <w:sz w:val="20"/>
          <w:szCs w:val="20"/>
        </w:rPr>
        <w:t xml:space="preserve"> Dolan et al. (</w:t>
      </w:r>
      <w:r w:rsidRPr="00A10480">
        <w:rPr>
          <w:rFonts w:ascii="Times New Roman" w:eastAsia="Times New Roman" w:hAnsi="Times New Roman" w:cs="Times New Roman"/>
          <w:sz w:val="20"/>
          <w:szCs w:val="20"/>
        </w:rPr>
        <w:t>1997), l</w:t>
      </w:r>
      <w:r w:rsidR="000B4BC5" w:rsidRPr="00A10480">
        <w:rPr>
          <w:rFonts w:ascii="Times New Roman" w:eastAsia="Times New Roman" w:hAnsi="Times New Roman" w:cs="Times New Roman"/>
          <w:sz w:val="20"/>
          <w:szCs w:val="20"/>
        </w:rPr>
        <w:t xml:space="preserve">ow income </w:t>
      </w:r>
      <w:r w:rsidRPr="00A10480">
        <w:rPr>
          <w:rFonts w:ascii="Times New Roman" w:eastAsia="Times New Roman" w:hAnsi="Times New Roman" w:cs="Times New Roman"/>
          <w:sz w:val="20"/>
          <w:szCs w:val="20"/>
        </w:rPr>
        <w:t>and rural living were proven to be risk factors associated with increased prevalence</w:t>
      </w:r>
      <w:r w:rsidR="000B4BC5" w:rsidRPr="00A10480">
        <w:rPr>
          <w:rFonts w:ascii="Times New Roman" w:eastAsia="Times New Roman" w:hAnsi="Times New Roman" w:cs="Times New Roman"/>
          <w:sz w:val="20"/>
          <w:szCs w:val="20"/>
        </w:rPr>
        <w:t xml:space="preserve"> of attachment loss</w:t>
      </w:r>
      <w:r w:rsidR="008129A8" w:rsidRPr="00A10480">
        <w:rPr>
          <w:rFonts w:ascii="Times New Roman" w:eastAsia="Times New Roman" w:hAnsi="Times New Roman" w:cs="Times New Roman"/>
          <w:sz w:val="20"/>
          <w:szCs w:val="20"/>
          <w:vertAlign w:val="superscript"/>
        </w:rPr>
        <w:t>22</w:t>
      </w:r>
      <w:r w:rsidR="009C6E9C" w:rsidRPr="00A10480">
        <w:rPr>
          <w:rFonts w:ascii="Times New Roman" w:eastAsia="Times New Roman" w:hAnsi="Times New Roman" w:cs="Times New Roman"/>
          <w:sz w:val="20"/>
          <w:szCs w:val="20"/>
        </w:rPr>
        <w:t xml:space="preserve">. </w:t>
      </w:r>
      <w:r w:rsidRPr="00A10480">
        <w:rPr>
          <w:rFonts w:ascii="Times New Roman" w:hAnsi="Times New Roman" w:cs="Times New Roman"/>
          <w:sz w:val="20"/>
          <w:szCs w:val="20"/>
        </w:rPr>
        <w:t>In the NHANE</w:t>
      </w:r>
      <w:r w:rsidR="000B4BC5" w:rsidRPr="00A10480">
        <w:rPr>
          <w:rFonts w:ascii="Times New Roman" w:hAnsi="Times New Roman" w:cs="Times New Roman"/>
          <w:sz w:val="20"/>
          <w:szCs w:val="20"/>
        </w:rPr>
        <w:t>S</w:t>
      </w:r>
      <w:r w:rsidRPr="00A10480">
        <w:rPr>
          <w:rFonts w:ascii="Times New Roman" w:hAnsi="Times New Roman" w:cs="Times New Roman"/>
          <w:sz w:val="20"/>
          <w:szCs w:val="20"/>
        </w:rPr>
        <w:t xml:space="preserve"> III survey by Drury et al (1999), there was a seven fold more likeliness of untreated root decay </w:t>
      </w:r>
      <w:r w:rsidR="009C6E9C" w:rsidRPr="00A10480">
        <w:rPr>
          <w:rFonts w:ascii="Times New Roman" w:hAnsi="Times New Roman" w:cs="Times New Roman"/>
          <w:sz w:val="20"/>
          <w:szCs w:val="20"/>
        </w:rPr>
        <w:t>in</w:t>
      </w:r>
      <w:r w:rsidRPr="00A10480">
        <w:rPr>
          <w:rFonts w:ascii="Times New Roman" w:hAnsi="Times New Roman" w:cs="Times New Roman"/>
          <w:sz w:val="20"/>
          <w:szCs w:val="20"/>
        </w:rPr>
        <w:t xml:space="preserve"> l</w:t>
      </w:r>
      <w:r w:rsidR="000B4BC5" w:rsidRPr="00A10480">
        <w:rPr>
          <w:rFonts w:ascii="Times New Roman" w:hAnsi="Times New Roman" w:cs="Times New Roman"/>
          <w:sz w:val="20"/>
          <w:szCs w:val="20"/>
        </w:rPr>
        <w:t xml:space="preserve">ower socio-economic groups </w:t>
      </w:r>
      <w:r w:rsidR="009C6E9C" w:rsidRPr="00A10480">
        <w:rPr>
          <w:rFonts w:ascii="Times New Roman" w:hAnsi="Times New Roman" w:cs="Times New Roman"/>
          <w:sz w:val="20"/>
          <w:szCs w:val="20"/>
        </w:rPr>
        <w:t>than higher socio-economic groups</w:t>
      </w:r>
      <w:r w:rsidR="000B4BC5" w:rsidRPr="00A10480">
        <w:rPr>
          <w:rFonts w:ascii="Times New Roman" w:hAnsi="Times New Roman" w:cs="Times New Roman"/>
          <w:sz w:val="20"/>
          <w:szCs w:val="20"/>
        </w:rPr>
        <w:t>, but the differenc</w:t>
      </w:r>
      <w:r w:rsidR="00D872BE" w:rsidRPr="00A10480">
        <w:rPr>
          <w:rFonts w:ascii="Times New Roman" w:hAnsi="Times New Roman" w:cs="Times New Roman"/>
          <w:sz w:val="20"/>
          <w:szCs w:val="20"/>
        </w:rPr>
        <w:t xml:space="preserve">es were less apparent as attachment </w:t>
      </w:r>
      <w:r w:rsidR="00A729A0" w:rsidRPr="00A10480">
        <w:rPr>
          <w:rFonts w:ascii="Times New Roman" w:hAnsi="Times New Roman" w:cs="Times New Roman"/>
          <w:sz w:val="20"/>
          <w:szCs w:val="20"/>
        </w:rPr>
        <w:t>loss was</w:t>
      </w:r>
      <w:r w:rsidR="00D872BE" w:rsidRPr="00A10480">
        <w:rPr>
          <w:rFonts w:ascii="Times New Roman" w:hAnsi="Times New Roman" w:cs="Times New Roman"/>
          <w:sz w:val="20"/>
          <w:szCs w:val="20"/>
        </w:rPr>
        <w:t xml:space="preserve"> found to be more than </w:t>
      </w:r>
      <w:r w:rsidR="000B4BC5" w:rsidRPr="00A10480">
        <w:rPr>
          <w:rFonts w:ascii="Times New Roman" w:hAnsi="Times New Roman" w:cs="Times New Roman"/>
          <w:sz w:val="20"/>
          <w:szCs w:val="20"/>
        </w:rPr>
        <w:t>4 mm</w:t>
      </w:r>
      <w:r w:rsidR="00A35F6A" w:rsidRPr="00A10480">
        <w:rPr>
          <w:rFonts w:ascii="Times New Roman" w:hAnsi="Times New Roman" w:cs="Times New Roman"/>
          <w:sz w:val="20"/>
          <w:szCs w:val="20"/>
          <w:vertAlign w:val="superscript"/>
        </w:rPr>
        <w:t>23</w:t>
      </w:r>
      <w:r w:rsidR="000B4BC5" w:rsidRPr="00A10480">
        <w:rPr>
          <w:rFonts w:ascii="Times New Roman" w:hAnsi="Times New Roman" w:cs="Times New Roman"/>
          <w:sz w:val="20"/>
          <w:szCs w:val="20"/>
        </w:rPr>
        <w:t>.</w:t>
      </w:r>
    </w:p>
    <w:p w:rsidR="00EB13D5" w:rsidRPr="00A10480" w:rsidRDefault="005930F6"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lastRenderedPageBreak/>
        <w:t xml:space="preserve">It has been proven in many studies that there is presence of a social gradient with an incremental reduction in oral health when we move from richer sections of the society to the poorer ones, but there is a considerable variation with the nature and shape of the gradient and is highly dependent on the parameters used </w:t>
      </w:r>
      <w:r w:rsidR="00EB13D5" w:rsidRPr="00A10480">
        <w:rPr>
          <w:rFonts w:ascii="Times New Roman" w:hAnsi="Times New Roman" w:cs="Times New Roman"/>
          <w:sz w:val="20"/>
          <w:szCs w:val="20"/>
        </w:rPr>
        <w:t xml:space="preserve">(Morita et al. 2007; Sabbah et al. </w:t>
      </w:r>
      <w:r w:rsidR="00EB13D5" w:rsidRPr="00A10480">
        <w:rPr>
          <w:rFonts w:ascii="Times New Roman" w:hAnsi="Times New Roman" w:cs="Times New Roman"/>
          <w:sz w:val="20"/>
          <w:szCs w:val="20"/>
        </w:rPr>
        <w:lastRenderedPageBreak/>
        <w:t>200</w:t>
      </w:r>
      <w:r w:rsidR="00874BFB" w:rsidRPr="00A10480">
        <w:rPr>
          <w:rFonts w:ascii="Times New Roman" w:hAnsi="Times New Roman" w:cs="Times New Roman"/>
          <w:sz w:val="20"/>
          <w:szCs w:val="20"/>
        </w:rPr>
        <w:t>7; Holst 2008</w:t>
      </w:r>
      <w:r w:rsidR="00EB13D5" w:rsidRPr="00A10480">
        <w:rPr>
          <w:rFonts w:ascii="Times New Roman" w:hAnsi="Times New Roman" w:cs="Times New Roman"/>
          <w:sz w:val="20"/>
          <w:szCs w:val="20"/>
        </w:rPr>
        <w:t>; Tsakos et al. 2011; Elani et al. 2012)</w:t>
      </w:r>
      <w:r w:rsidR="00874BFB" w:rsidRPr="00A10480">
        <w:rPr>
          <w:rFonts w:ascii="Times New Roman" w:hAnsi="Times New Roman" w:cs="Times New Roman"/>
          <w:sz w:val="20"/>
          <w:szCs w:val="20"/>
          <w:vertAlign w:val="superscript"/>
        </w:rPr>
        <w:t>21, 24, 25, 26, 27</w:t>
      </w:r>
      <w:r w:rsidR="00874BFB" w:rsidRPr="00A10480">
        <w:rPr>
          <w:rFonts w:ascii="Times New Roman" w:hAnsi="Times New Roman" w:cs="Times New Roman"/>
          <w:sz w:val="20"/>
          <w:szCs w:val="20"/>
        </w:rPr>
        <w:t>.</w:t>
      </w:r>
    </w:p>
    <w:p w:rsidR="00794BB0" w:rsidRPr="00A10480" w:rsidRDefault="00981C4D" w:rsidP="00A10480">
      <w:pPr>
        <w:autoSpaceDE w:val="0"/>
        <w:autoSpaceDN w:val="0"/>
        <w:adjustRightInd w:val="0"/>
        <w:spacing w:after="0"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CONCLUSION:</w:t>
      </w:r>
    </w:p>
    <w:p w:rsidR="00A305BA" w:rsidRPr="00A10480" w:rsidRDefault="000B4BC5"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There is a discernible evidence or association between the periodontal status and the socioeconomic status of an individual. A person of a lower socioeconomic status has a higher risk of periodontal destruction than the person of a higher status.</w:t>
      </w:r>
    </w:p>
    <w:p w:rsidR="00A10480" w:rsidRDefault="00A10480" w:rsidP="00A10480">
      <w:pPr>
        <w:autoSpaceDE w:val="0"/>
        <w:autoSpaceDN w:val="0"/>
        <w:adjustRightInd w:val="0"/>
        <w:spacing w:after="0" w:line="360" w:lineRule="auto"/>
        <w:jc w:val="both"/>
        <w:rPr>
          <w:rFonts w:ascii="Times New Roman" w:hAnsi="Times New Roman" w:cs="Times New Roman"/>
          <w:b/>
          <w:sz w:val="20"/>
          <w:szCs w:val="20"/>
        </w:rPr>
        <w:sectPr w:rsidR="00A10480" w:rsidSect="00A10480">
          <w:type w:val="continuous"/>
          <w:pgSz w:w="12240" w:h="15840"/>
          <w:pgMar w:top="1440" w:right="1440" w:bottom="1440" w:left="1440" w:header="720" w:footer="720" w:gutter="0"/>
          <w:cols w:num="2" w:space="720"/>
          <w:docGrid w:linePitch="360"/>
        </w:sectPr>
      </w:pPr>
    </w:p>
    <w:p w:rsidR="00AB65DB" w:rsidRDefault="00AB65DB" w:rsidP="00A10480">
      <w:pPr>
        <w:autoSpaceDE w:val="0"/>
        <w:autoSpaceDN w:val="0"/>
        <w:adjustRightInd w:val="0"/>
        <w:spacing w:after="0" w:line="360" w:lineRule="auto"/>
        <w:jc w:val="both"/>
        <w:rPr>
          <w:rFonts w:ascii="Times New Roman" w:hAnsi="Times New Roman" w:cs="Times New Roman"/>
          <w:b/>
          <w:sz w:val="20"/>
          <w:szCs w:val="20"/>
        </w:rPr>
      </w:pPr>
    </w:p>
    <w:p w:rsidR="00AB65DB" w:rsidRDefault="00AB65DB" w:rsidP="00A10480">
      <w:pPr>
        <w:autoSpaceDE w:val="0"/>
        <w:autoSpaceDN w:val="0"/>
        <w:adjustRightInd w:val="0"/>
        <w:spacing w:after="0" w:line="360" w:lineRule="auto"/>
        <w:jc w:val="both"/>
        <w:rPr>
          <w:rFonts w:ascii="Times New Roman" w:hAnsi="Times New Roman" w:cs="Times New Roman"/>
          <w:b/>
          <w:sz w:val="20"/>
          <w:szCs w:val="20"/>
        </w:rPr>
      </w:pPr>
    </w:p>
    <w:p w:rsidR="001B15C2" w:rsidRPr="00A10480" w:rsidRDefault="00A305BA" w:rsidP="00A10480">
      <w:pPr>
        <w:autoSpaceDE w:val="0"/>
        <w:autoSpaceDN w:val="0"/>
        <w:adjustRightInd w:val="0"/>
        <w:spacing w:after="0" w:line="360" w:lineRule="auto"/>
        <w:jc w:val="both"/>
        <w:rPr>
          <w:rFonts w:ascii="Times New Roman" w:hAnsi="Times New Roman" w:cs="Times New Roman"/>
          <w:b/>
          <w:sz w:val="20"/>
          <w:szCs w:val="20"/>
        </w:rPr>
      </w:pPr>
      <w:r w:rsidRPr="00A10480">
        <w:rPr>
          <w:rFonts w:ascii="Times New Roman" w:hAnsi="Times New Roman" w:cs="Times New Roman"/>
          <w:b/>
          <w:sz w:val="20"/>
          <w:szCs w:val="20"/>
        </w:rPr>
        <w:t>References:</w:t>
      </w:r>
    </w:p>
    <w:p w:rsidR="00B06B4A" w:rsidRPr="00A10480" w:rsidRDefault="00B06B4A" w:rsidP="00A10480">
      <w:pPr>
        <w:autoSpaceDE w:val="0"/>
        <w:autoSpaceDN w:val="0"/>
        <w:adjustRightInd w:val="0"/>
        <w:spacing w:after="0" w:line="360" w:lineRule="auto"/>
        <w:jc w:val="both"/>
        <w:rPr>
          <w:rFonts w:ascii="Times New Roman" w:hAnsi="Times New Roman" w:cs="Times New Roman"/>
          <w:bCs/>
          <w:sz w:val="20"/>
          <w:szCs w:val="20"/>
        </w:rPr>
      </w:pPr>
      <w:r w:rsidRPr="00A10480">
        <w:rPr>
          <w:rFonts w:ascii="Times New Roman" w:hAnsi="Times New Roman" w:cs="Times New Roman"/>
          <w:bCs/>
          <w:sz w:val="20"/>
          <w:szCs w:val="20"/>
        </w:rPr>
        <w:t xml:space="preserve">1.Galobardes, Bruna et al. </w:t>
      </w:r>
      <w:r w:rsidR="004C65BA" w:rsidRPr="00A10480">
        <w:rPr>
          <w:rFonts w:ascii="Times New Roman" w:hAnsi="Times New Roman" w:cs="Times New Roman"/>
          <w:bCs/>
          <w:sz w:val="20"/>
          <w:szCs w:val="20"/>
        </w:rPr>
        <w:t xml:space="preserve">Systematic Review of the Influence of Childhood Socioeconomic Circumstances on Risk for Cardiovascular Disease in Adulthood, </w:t>
      </w:r>
      <w:r w:rsidRPr="00A10480">
        <w:rPr>
          <w:rFonts w:ascii="Times New Roman" w:hAnsi="Times New Roman" w:cs="Times New Roman"/>
          <w:bCs/>
          <w:sz w:val="20"/>
          <w:szCs w:val="20"/>
        </w:rPr>
        <w:t>Annals of Epidemiology , Volume 16 , Issue 2 , 91 - 104</w:t>
      </w:r>
    </w:p>
    <w:p w:rsidR="006A33AD" w:rsidRPr="00A10480" w:rsidRDefault="004C65BA"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 Park K. Concepts of Health and Disease. Textbook of preventive and social medicine. 17 th ed. Jabalpur, India: BanarsidasBhanot Publishers; 2002. p. 1147</w:t>
      </w:r>
    </w:p>
    <w:p w:rsidR="004C65BA" w:rsidRPr="00A10480" w:rsidRDefault="004C65BA"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3. Page, R. C. and Beck, J. D. (1997), Risk assessment for periodontal diseases. International Dental Journal, 47: 61–87</w:t>
      </w:r>
    </w:p>
    <w:p w:rsidR="004C65BA" w:rsidRPr="00A10480" w:rsidRDefault="004C65BA"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4. Albandar, J. M. (2002), Periodontal diseases in North America. Periodontology 2000, 29: 31–69</w:t>
      </w:r>
    </w:p>
    <w:p w:rsidR="00721DA9" w:rsidRPr="00A10480" w:rsidRDefault="00721DA9"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5. </w:t>
      </w:r>
      <w:r w:rsidR="007F2577" w:rsidRPr="00A10480">
        <w:rPr>
          <w:rFonts w:ascii="Times New Roman" w:hAnsi="Times New Roman" w:cs="Times New Roman"/>
          <w:sz w:val="20"/>
          <w:szCs w:val="20"/>
        </w:rPr>
        <w:t>Friere MD, Melo DR, Silva ES. Dental caries prevalence in relation to socioeconomic status of nursery school children in GoianiaGO, Brazil. Community Dent Oral Epidemiol 1996;24:35761.</w:t>
      </w:r>
    </w:p>
    <w:p w:rsidR="00C24A3A"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6. Whittle JG, Whittle KW. House hold income in relation to dental health and dental health behaviors: The use of super profiles. Community Dent Health 1998;15:1504</w:t>
      </w:r>
    </w:p>
    <w:p w:rsidR="007F2577"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7. Petridou E, Athanassouli T, Panagopoulos H, Revinthi K. Sociodemographic</w:t>
      </w:r>
    </w:p>
    <w:p w:rsidR="007F2577"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and dietary factors in relation to dental health among Greek adolescents. Community Dent Oral Epidemiol 1996;24:30711</w:t>
      </w:r>
    </w:p>
    <w:p w:rsidR="007F2577"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8. Hosani EA, RuggGunn A. Combination of low parental educational attainment and high parental income related to high caries experience in preschool children in AbuDhabi. Community Dent Oral Epidemiol 1998;26:316.</w:t>
      </w:r>
    </w:p>
    <w:p w:rsidR="007F2577"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9. Jorgensen EB. Effect of socioeconomic and general health status on periodontal conditions in old age. J ClinPeriodontol 2000;27:83.</w:t>
      </w:r>
    </w:p>
    <w:p w:rsidR="007F2577"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10. Dudala SR. Updated Kuppuswamy's socioeconomic scale for 2012. J Dr NTR Univ Health Sci 2013;2:201-2.</w:t>
      </w:r>
    </w:p>
    <w:p w:rsidR="008211C5" w:rsidRPr="00A10480" w:rsidRDefault="007F2577"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11. </w:t>
      </w:r>
      <w:r w:rsidR="008211C5" w:rsidRPr="00A10480">
        <w:rPr>
          <w:rFonts w:ascii="Times New Roman" w:hAnsi="Times New Roman" w:cs="Times New Roman"/>
          <w:sz w:val="20"/>
          <w:szCs w:val="20"/>
        </w:rPr>
        <w:t>Klinge B, Norlund A. A socio-economic perspective on periodontal diseases – a</w:t>
      </w:r>
    </w:p>
    <w:p w:rsidR="007F2577" w:rsidRPr="00A10480" w:rsidRDefault="008211C5"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systematic review. J ClinPeriodontol 2005; 32 (Suppl. 6): 314–325</w:t>
      </w:r>
    </w:p>
    <w:p w:rsidR="008211C5" w:rsidRPr="00A10480" w:rsidRDefault="008211C5"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12. Petersen, P. E. (1990), Social inequalities in dental health. Community Dentistry and Oral Epidemiology, 18: 153–158</w:t>
      </w:r>
    </w:p>
    <w:p w:rsidR="008211C5" w:rsidRPr="00A10480" w:rsidRDefault="008211C5"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13. Per Tillgren, Bo JA Haglund, Michael Lundberg, Anders Romelsjo, The sociodemographic pattern of tobacco cessation in the 1980s: results from a panel study of living condition surveys in Sweden; Journal of Epidemiology </w:t>
      </w:r>
      <w:r w:rsidRPr="00A10480">
        <w:rPr>
          <w:rFonts w:ascii="Times New Roman" w:hAnsi="Times New Roman" w:cs="Times New Roman"/>
          <w:sz w:val="20"/>
          <w:szCs w:val="20"/>
        </w:rPr>
        <w:lastRenderedPageBreak/>
        <w:t>and Community Health 1996;50:625-630</w:t>
      </w:r>
      <w:r w:rsidRPr="00A10480">
        <w:rPr>
          <w:rFonts w:ascii="Times New Roman" w:hAnsi="Times New Roman" w:cs="Times New Roman"/>
          <w:sz w:val="20"/>
          <w:szCs w:val="20"/>
        </w:rPr>
        <w:cr/>
        <w:t xml:space="preserve">14. </w:t>
      </w:r>
      <w:r w:rsidR="00A9473C" w:rsidRPr="00A10480">
        <w:rPr>
          <w:rFonts w:ascii="Times New Roman" w:hAnsi="Times New Roman" w:cs="Times New Roman"/>
          <w:sz w:val="20"/>
          <w:szCs w:val="20"/>
        </w:rPr>
        <w:t>Oral health in America: a report of the surgeon general. US Public Health Service, 2000.</w:t>
      </w:r>
    </w:p>
    <w:p w:rsidR="00A9473C" w:rsidRPr="00A10480" w:rsidRDefault="00A9473C"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15. Kunst A, Mackenbach J: Measuring socio-economic inequalities in health.</w:t>
      </w:r>
    </w:p>
    <w:p w:rsidR="00A9473C" w:rsidRPr="00A10480" w:rsidRDefault="00A9473C"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WHO, Regional office for Europe, Copenhagen, 1997</w:t>
      </w:r>
    </w:p>
    <w:p w:rsidR="00A9473C" w:rsidRPr="00A10480" w:rsidRDefault="00A9473C"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16. Healthy people 2010. US Department of Health and Human Services, 2000</w:t>
      </w:r>
    </w:p>
    <w:p w:rsidR="00A9473C" w:rsidRPr="00A10480" w:rsidRDefault="00A9473C"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17.</w:t>
      </w:r>
      <w:r w:rsidR="000B7FB1" w:rsidRPr="00A10480">
        <w:rPr>
          <w:rFonts w:ascii="Times New Roman" w:hAnsi="Times New Roman" w:cs="Times New Roman"/>
          <w:sz w:val="20"/>
          <w:szCs w:val="20"/>
        </w:rPr>
        <w:t>Demetriou N, Tsami-Pandi A, Parashis A. Compliance with supportive periodontal treatment in private periodontal practice. A 14-year retrospective study. Journal of Periodontology. 1995;66:145–149.</w:t>
      </w:r>
    </w:p>
    <w:p w:rsidR="000B7FB1" w:rsidRPr="00A10480" w:rsidRDefault="000B7FB1"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18. Gugushe TS, du Plessis JB. Regional urban-rural distribution of dental caries </w:t>
      </w:r>
    </w:p>
    <w:p w:rsidR="000B7FB1" w:rsidRPr="00A10480" w:rsidRDefault="000B7FB1"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experience in Swaziland. SADJ. 1998 Aug;53(8):409-12</w:t>
      </w:r>
    </w:p>
    <w:p w:rsidR="00A9473C"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19. Brodeur, J.M.; Payette, M.; Benigeri, M.; Gagnon, P.F.; Olivier, M.; Chabot, D. Dental caries in Quebec adults aged 35 to 44 years. J. Can. Dent. Assoc. 2000, 66, 374–379</w:t>
      </w:r>
    </w:p>
    <w:p w:rsidR="008129A8"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20. Borrell LN, Crawford ND. Social disparities in periodontitis among United</w:t>
      </w:r>
    </w:p>
    <w:p w:rsidR="008129A8"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States adults 1999-2004. Community Dent Oral Epidemiol. 2008 Oct;36(5):383-91</w:t>
      </w:r>
    </w:p>
    <w:p w:rsidR="008129A8"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21. Sabbah W, Tsakos G, Chandola T, Sheiham A, Watt RG. Social gradients in oral</w:t>
      </w:r>
    </w:p>
    <w:p w:rsidR="008129A8"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and general health. J Dent Res. 2007 Oct;86(10):992-6</w:t>
      </w:r>
    </w:p>
    <w:p w:rsidR="008129A8"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22. Dolan TA, Gilbert CH, Ringelberg ML, et al. Behavioral risk indicators of attachment loss in adult Floridians. J ClinPeriodontol. 1997;24:223–232</w:t>
      </w:r>
    </w:p>
    <w:p w:rsidR="008129A8" w:rsidRPr="00A10480" w:rsidRDefault="008129A8"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23. </w:t>
      </w:r>
      <w:r w:rsidR="00A35F6A" w:rsidRPr="00A10480">
        <w:rPr>
          <w:rFonts w:ascii="Times New Roman" w:hAnsi="Times New Roman" w:cs="Times New Roman"/>
          <w:sz w:val="20"/>
          <w:szCs w:val="20"/>
        </w:rPr>
        <w:t>Drury, T. F., Garcia, I. &amp;Adesanya, M. (1999) Socioeconomic disparities in adult oral health in the United States. Annals of the New York Academy of Sciences 896, 322–324</w:t>
      </w:r>
    </w:p>
    <w:p w:rsidR="00874BFB" w:rsidRPr="00A10480" w:rsidRDefault="00A35F6A"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24. </w:t>
      </w:r>
      <w:r w:rsidR="00874BFB" w:rsidRPr="00A10480">
        <w:rPr>
          <w:rFonts w:ascii="Times New Roman" w:hAnsi="Times New Roman" w:cs="Times New Roman"/>
          <w:sz w:val="20"/>
          <w:szCs w:val="20"/>
        </w:rPr>
        <w:t>Morita E, Fukuda S, Nagano J, Hamajima N, Yamamoto H, Iwai Y, Nakashima T, Ohira H, Shirakawa T. Psychological effects of forest environments on healthy</w:t>
      </w:r>
    </w:p>
    <w:p w:rsidR="00874BFB" w:rsidRPr="00A10480" w:rsidRDefault="00874BFB"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adults: Shinrin-yoku (forest-air bathing, walking) as a possible method of stress</w:t>
      </w:r>
    </w:p>
    <w:p w:rsidR="00A35F6A" w:rsidRPr="00A10480" w:rsidRDefault="00874BFB"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reduction</w:t>
      </w:r>
    </w:p>
    <w:p w:rsidR="00874BFB" w:rsidRPr="00A10480" w:rsidRDefault="00874BFB"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25. Holst B, Williamson G. Nutrients and phytochemicals: from bioavailability to</w:t>
      </w:r>
    </w:p>
    <w:p w:rsidR="00874BFB" w:rsidRPr="00A10480" w:rsidRDefault="00874BFB"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bioefficacy beyond antioxidants. CurrOpinBiotechnol. 2008 Apr;19(2):73-82</w:t>
      </w:r>
    </w:p>
    <w:p w:rsidR="00874BFB" w:rsidRPr="00A10480" w:rsidRDefault="00874BFB" w:rsidP="00A10480">
      <w:pPr>
        <w:autoSpaceDE w:val="0"/>
        <w:autoSpaceDN w:val="0"/>
        <w:adjustRightInd w:val="0"/>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 xml:space="preserve">26. Tsakos G, Demakakos P, Breeze E, Watt RG. Social Gradients in Oral Health in Older Adults: Findings From the English Longitudinal Survey of Aging. American Journal of Public Health. 2011;101(10):1892-1899. </w:t>
      </w:r>
    </w:p>
    <w:p w:rsidR="00874BFB" w:rsidRPr="00A10480" w:rsidRDefault="00874BFB" w:rsidP="00A10480">
      <w:pPr>
        <w:spacing w:after="0" w:line="360" w:lineRule="auto"/>
        <w:jc w:val="both"/>
        <w:rPr>
          <w:rFonts w:ascii="Times New Roman" w:hAnsi="Times New Roman" w:cs="Times New Roman"/>
          <w:sz w:val="20"/>
          <w:szCs w:val="20"/>
        </w:rPr>
      </w:pPr>
      <w:r w:rsidRPr="00A10480">
        <w:rPr>
          <w:rFonts w:ascii="Times New Roman" w:hAnsi="Times New Roman" w:cs="Times New Roman"/>
          <w:sz w:val="20"/>
          <w:szCs w:val="20"/>
        </w:rPr>
        <w:t>27. H.W. Elani, S. Harper, P.J. Allison, C. Bedos, J.S. Kaufman Socio-economic Inequalities and Oral Health in Canada and the United States, Journal of Dental Research, Vol 91, Issue 9, pp. 865 - 870</w:t>
      </w:r>
    </w:p>
    <w:p w:rsidR="00874BFB" w:rsidRPr="00A10480" w:rsidRDefault="00874BFB" w:rsidP="00A10480">
      <w:pPr>
        <w:autoSpaceDE w:val="0"/>
        <w:autoSpaceDN w:val="0"/>
        <w:adjustRightInd w:val="0"/>
        <w:spacing w:after="0" w:line="360" w:lineRule="auto"/>
        <w:jc w:val="both"/>
        <w:rPr>
          <w:rFonts w:ascii="Times New Roman" w:hAnsi="Times New Roman" w:cs="Times New Roman"/>
          <w:sz w:val="20"/>
          <w:szCs w:val="20"/>
        </w:rPr>
      </w:pPr>
    </w:p>
    <w:sectPr w:rsidR="00874BFB" w:rsidRPr="00A10480" w:rsidSect="00A1048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002" w:rsidRDefault="00E47002" w:rsidP="00BE74E7">
      <w:pPr>
        <w:spacing w:after="0" w:line="240" w:lineRule="auto"/>
      </w:pPr>
      <w:r>
        <w:separator/>
      </w:r>
    </w:p>
  </w:endnote>
  <w:endnote w:type="continuationSeparator" w:id="1">
    <w:p w:rsidR="00E47002" w:rsidRDefault="00E47002" w:rsidP="00BE7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94736"/>
      <w:docPartObj>
        <w:docPartGallery w:val="Page Numbers (Bottom of Page)"/>
        <w:docPartUnique/>
      </w:docPartObj>
    </w:sdtPr>
    <w:sdtContent>
      <w:p w:rsidR="00BE74E7" w:rsidRDefault="00493482">
        <w:pPr>
          <w:pStyle w:val="Footer"/>
          <w:jc w:val="right"/>
        </w:pPr>
        <w:fldSimple w:instr=" PAGE   \* MERGEFORMAT ">
          <w:r w:rsidR="00EC6045">
            <w:rPr>
              <w:noProof/>
            </w:rPr>
            <w:t>32</w:t>
          </w:r>
        </w:fldSimple>
      </w:p>
    </w:sdtContent>
  </w:sdt>
  <w:p w:rsidR="00BE74E7" w:rsidRPr="00D02D81" w:rsidRDefault="00BE74E7" w:rsidP="00BE74E7">
    <w:pPr>
      <w:tabs>
        <w:tab w:val="left" w:pos="3540"/>
      </w:tabs>
      <w:jc w:val="center"/>
      <w:rPr>
        <w:rFonts w:asciiTheme="majorHAnsi" w:hAnsiTheme="majorHAnsi"/>
        <w:sz w:val="18"/>
        <w:szCs w:val="18"/>
      </w:rPr>
    </w:pPr>
    <w:r w:rsidRPr="00D02D81">
      <w:rPr>
        <w:rFonts w:asciiTheme="majorHAnsi" w:eastAsia="Times New Roman" w:hAnsiTheme="majorHAnsi" w:cs="Times New Roman"/>
        <w:sz w:val="18"/>
        <w:szCs w:val="18"/>
      </w:rPr>
      <w:t>www.jgdch.com</w:t>
    </w:r>
    <w:r w:rsidRPr="00D02D81">
      <w:rPr>
        <w:rFonts w:asciiTheme="majorHAnsi" w:hAnsiTheme="majorHAnsi"/>
        <w:sz w:val="18"/>
        <w:szCs w:val="18"/>
      </w:rPr>
      <w:t>, PISSN: 2394- 8701, E ISSN: 2394 – 871X</w:t>
    </w:r>
  </w:p>
  <w:p w:rsidR="00BE74E7" w:rsidRDefault="00BE7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002" w:rsidRDefault="00E47002" w:rsidP="00BE74E7">
      <w:pPr>
        <w:spacing w:after="0" w:line="240" w:lineRule="auto"/>
      </w:pPr>
      <w:r>
        <w:separator/>
      </w:r>
    </w:p>
  </w:footnote>
  <w:footnote w:type="continuationSeparator" w:id="1">
    <w:p w:rsidR="00E47002" w:rsidRDefault="00E47002" w:rsidP="00BE7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E7" w:rsidRPr="00F67CC5" w:rsidRDefault="00BE74E7" w:rsidP="00BE74E7">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al College and Hospital, October 20</w:t>
    </w:r>
    <w:r w:rsidR="00AB65DB">
      <w:rPr>
        <w:rFonts w:ascii="Times New Roman" w:eastAsia="Times New Roman" w:hAnsi="Times New Roman" w:cs="Times New Roman"/>
        <w:sz w:val="20"/>
        <w:szCs w:val="20"/>
      </w:rPr>
      <w:t>17, Vol.-04, Issue- 01, P. 32-39</w:t>
    </w:r>
  </w:p>
  <w:p w:rsidR="00BE74E7" w:rsidRPr="00BE74E7" w:rsidRDefault="00BE74E7" w:rsidP="00BE74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04A1"/>
    <w:multiLevelType w:val="multilevel"/>
    <w:tmpl w:val="A54607F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231D78"/>
    <w:multiLevelType w:val="hybridMultilevel"/>
    <w:tmpl w:val="EAFC83FA"/>
    <w:lvl w:ilvl="0" w:tplc="A7528B76">
      <w:start w:val="1"/>
      <w:numFmt w:val="decimal"/>
      <w:lvlText w:val="%1."/>
      <w:lvlJc w:val="left"/>
      <w:pPr>
        <w:tabs>
          <w:tab w:val="num" w:pos="720"/>
        </w:tabs>
        <w:ind w:left="720" w:hanging="360"/>
      </w:pPr>
    </w:lvl>
    <w:lvl w:ilvl="1" w:tplc="92264BBA" w:tentative="1">
      <w:start w:val="1"/>
      <w:numFmt w:val="decimal"/>
      <w:lvlText w:val="%2."/>
      <w:lvlJc w:val="left"/>
      <w:pPr>
        <w:tabs>
          <w:tab w:val="num" w:pos="1440"/>
        </w:tabs>
        <w:ind w:left="1440" w:hanging="360"/>
      </w:pPr>
    </w:lvl>
    <w:lvl w:ilvl="2" w:tplc="A0267CA6" w:tentative="1">
      <w:start w:val="1"/>
      <w:numFmt w:val="decimal"/>
      <w:lvlText w:val="%3."/>
      <w:lvlJc w:val="left"/>
      <w:pPr>
        <w:tabs>
          <w:tab w:val="num" w:pos="2160"/>
        </w:tabs>
        <w:ind w:left="2160" w:hanging="360"/>
      </w:pPr>
    </w:lvl>
    <w:lvl w:ilvl="3" w:tplc="53F4403A" w:tentative="1">
      <w:start w:val="1"/>
      <w:numFmt w:val="decimal"/>
      <w:lvlText w:val="%4."/>
      <w:lvlJc w:val="left"/>
      <w:pPr>
        <w:tabs>
          <w:tab w:val="num" w:pos="2880"/>
        </w:tabs>
        <w:ind w:left="2880" w:hanging="360"/>
      </w:pPr>
    </w:lvl>
    <w:lvl w:ilvl="4" w:tplc="6052B7A0" w:tentative="1">
      <w:start w:val="1"/>
      <w:numFmt w:val="decimal"/>
      <w:lvlText w:val="%5."/>
      <w:lvlJc w:val="left"/>
      <w:pPr>
        <w:tabs>
          <w:tab w:val="num" w:pos="3600"/>
        </w:tabs>
        <w:ind w:left="3600" w:hanging="360"/>
      </w:pPr>
    </w:lvl>
    <w:lvl w:ilvl="5" w:tplc="F6AA89A0" w:tentative="1">
      <w:start w:val="1"/>
      <w:numFmt w:val="decimal"/>
      <w:lvlText w:val="%6."/>
      <w:lvlJc w:val="left"/>
      <w:pPr>
        <w:tabs>
          <w:tab w:val="num" w:pos="4320"/>
        </w:tabs>
        <w:ind w:left="4320" w:hanging="360"/>
      </w:pPr>
    </w:lvl>
    <w:lvl w:ilvl="6" w:tplc="5E2AC6C4" w:tentative="1">
      <w:start w:val="1"/>
      <w:numFmt w:val="decimal"/>
      <w:lvlText w:val="%7."/>
      <w:lvlJc w:val="left"/>
      <w:pPr>
        <w:tabs>
          <w:tab w:val="num" w:pos="5040"/>
        </w:tabs>
        <w:ind w:left="5040" w:hanging="360"/>
      </w:pPr>
    </w:lvl>
    <w:lvl w:ilvl="7" w:tplc="C388AB40" w:tentative="1">
      <w:start w:val="1"/>
      <w:numFmt w:val="decimal"/>
      <w:lvlText w:val="%8."/>
      <w:lvlJc w:val="left"/>
      <w:pPr>
        <w:tabs>
          <w:tab w:val="num" w:pos="5760"/>
        </w:tabs>
        <w:ind w:left="5760" w:hanging="360"/>
      </w:pPr>
    </w:lvl>
    <w:lvl w:ilvl="8" w:tplc="3FE2438C" w:tentative="1">
      <w:start w:val="1"/>
      <w:numFmt w:val="decimal"/>
      <w:lvlText w:val="%9."/>
      <w:lvlJc w:val="left"/>
      <w:pPr>
        <w:tabs>
          <w:tab w:val="num" w:pos="6480"/>
        </w:tabs>
        <w:ind w:left="6480" w:hanging="360"/>
      </w:pPr>
    </w:lvl>
  </w:abstractNum>
  <w:abstractNum w:abstractNumId="2">
    <w:nsid w:val="52D159E2"/>
    <w:multiLevelType w:val="hybridMultilevel"/>
    <w:tmpl w:val="6F44DE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5F4956"/>
    <w:multiLevelType w:val="hybridMultilevel"/>
    <w:tmpl w:val="693205CC"/>
    <w:lvl w:ilvl="0" w:tplc="B3ECD194">
      <w:start w:val="1"/>
      <w:numFmt w:val="bullet"/>
      <w:lvlText w:val=" "/>
      <w:lvlJc w:val="left"/>
      <w:pPr>
        <w:tabs>
          <w:tab w:val="num" w:pos="720"/>
        </w:tabs>
        <w:ind w:left="720" w:hanging="360"/>
      </w:pPr>
      <w:rPr>
        <w:rFonts w:ascii="Calibri" w:hAnsi="Calibri" w:hint="default"/>
      </w:rPr>
    </w:lvl>
    <w:lvl w:ilvl="1" w:tplc="AD2E5004" w:tentative="1">
      <w:start w:val="1"/>
      <w:numFmt w:val="bullet"/>
      <w:lvlText w:val=" "/>
      <w:lvlJc w:val="left"/>
      <w:pPr>
        <w:tabs>
          <w:tab w:val="num" w:pos="1440"/>
        </w:tabs>
        <w:ind w:left="1440" w:hanging="360"/>
      </w:pPr>
      <w:rPr>
        <w:rFonts w:ascii="Calibri" w:hAnsi="Calibri" w:hint="default"/>
      </w:rPr>
    </w:lvl>
    <w:lvl w:ilvl="2" w:tplc="09FA3BB4" w:tentative="1">
      <w:start w:val="1"/>
      <w:numFmt w:val="bullet"/>
      <w:lvlText w:val=" "/>
      <w:lvlJc w:val="left"/>
      <w:pPr>
        <w:tabs>
          <w:tab w:val="num" w:pos="2160"/>
        </w:tabs>
        <w:ind w:left="2160" w:hanging="360"/>
      </w:pPr>
      <w:rPr>
        <w:rFonts w:ascii="Calibri" w:hAnsi="Calibri" w:hint="default"/>
      </w:rPr>
    </w:lvl>
    <w:lvl w:ilvl="3" w:tplc="E55694B4" w:tentative="1">
      <w:start w:val="1"/>
      <w:numFmt w:val="bullet"/>
      <w:lvlText w:val=" "/>
      <w:lvlJc w:val="left"/>
      <w:pPr>
        <w:tabs>
          <w:tab w:val="num" w:pos="2880"/>
        </w:tabs>
        <w:ind w:left="2880" w:hanging="360"/>
      </w:pPr>
      <w:rPr>
        <w:rFonts w:ascii="Calibri" w:hAnsi="Calibri" w:hint="default"/>
      </w:rPr>
    </w:lvl>
    <w:lvl w:ilvl="4" w:tplc="65C247C4" w:tentative="1">
      <w:start w:val="1"/>
      <w:numFmt w:val="bullet"/>
      <w:lvlText w:val=" "/>
      <w:lvlJc w:val="left"/>
      <w:pPr>
        <w:tabs>
          <w:tab w:val="num" w:pos="3600"/>
        </w:tabs>
        <w:ind w:left="3600" w:hanging="360"/>
      </w:pPr>
      <w:rPr>
        <w:rFonts w:ascii="Calibri" w:hAnsi="Calibri" w:hint="default"/>
      </w:rPr>
    </w:lvl>
    <w:lvl w:ilvl="5" w:tplc="A8E86972" w:tentative="1">
      <w:start w:val="1"/>
      <w:numFmt w:val="bullet"/>
      <w:lvlText w:val=" "/>
      <w:lvlJc w:val="left"/>
      <w:pPr>
        <w:tabs>
          <w:tab w:val="num" w:pos="4320"/>
        </w:tabs>
        <w:ind w:left="4320" w:hanging="360"/>
      </w:pPr>
      <w:rPr>
        <w:rFonts w:ascii="Calibri" w:hAnsi="Calibri" w:hint="default"/>
      </w:rPr>
    </w:lvl>
    <w:lvl w:ilvl="6" w:tplc="B33E06B6" w:tentative="1">
      <w:start w:val="1"/>
      <w:numFmt w:val="bullet"/>
      <w:lvlText w:val=" "/>
      <w:lvlJc w:val="left"/>
      <w:pPr>
        <w:tabs>
          <w:tab w:val="num" w:pos="5040"/>
        </w:tabs>
        <w:ind w:left="5040" w:hanging="360"/>
      </w:pPr>
      <w:rPr>
        <w:rFonts w:ascii="Calibri" w:hAnsi="Calibri" w:hint="default"/>
      </w:rPr>
    </w:lvl>
    <w:lvl w:ilvl="7" w:tplc="AC5CE8C0" w:tentative="1">
      <w:start w:val="1"/>
      <w:numFmt w:val="bullet"/>
      <w:lvlText w:val=" "/>
      <w:lvlJc w:val="left"/>
      <w:pPr>
        <w:tabs>
          <w:tab w:val="num" w:pos="5760"/>
        </w:tabs>
        <w:ind w:left="5760" w:hanging="360"/>
      </w:pPr>
      <w:rPr>
        <w:rFonts w:ascii="Calibri" w:hAnsi="Calibri" w:hint="default"/>
      </w:rPr>
    </w:lvl>
    <w:lvl w:ilvl="8" w:tplc="8F426560" w:tentative="1">
      <w:start w:val="1"/>
      <w:numFmt w:val="bullet"/>
      <w:lvlText w:val=" "/>
      <w:lvlJc w:val="left"/>
      <w:pPr>
        <w:tabs>
          <w:tab w:val="num" w:pos="6480"/>
        </w:tabs>
        <w:ind w:left="6480" w:hanging="360"/>
      </w:pPr>
      <w:rPr>
        <w:rFonts w:ascii="Calibri" w:hAnsi="Calibri" w:hint="default"/>
      </w:rPr>
    </w:lvl>
  </w:abstractNum>
  <w:abstractNum w:abstractNumId="4">
    <w:nsid w:val="6CCA43B8"/>
    <w:multiLevelType w:val="hybridMultilevel"/>
    <w:tmpl w:val="A6324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F4D44"/>
    <w:multiLevelType w:val="hybridMultilevel"/>
    <w:tmpl w:val="DBB08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6299"/>
    <w:rsid w:val="00005D83"/>
    <w:rsid w:val="00006BCB"/>
    <w:rsid w:val="0001764B"/>
    <w:rsid w:val="000424AE"/>
    <w:rsid w:val="0004333A"/>
    <w:rsid w:val="000567D2"/>
    <w:rsid w:val="0006045E"/>
    <w:rsid w:val="00083070"/>
    <w:rsid w:val="00091174"/>
    <w:rsid w:val="00093DF6"/>
    <w:rsid w:val="00096A28"/>
    <w:rsid w:val="000B4BC5"/>
    <w:rsid w:val="000B7FB1"/>
    <w:rsid w:val="000D053A"/>
    <w:rsid w:val="00102CD2"/>
    <w:rsid w:val="00106191"/>
    <w:rsid w:val="001132A2"/>
    <w:rsid w:val="00183AFA"/>
    <w:rsid w:val="001936BF"/>
    <w:rsid w:val="001A337B"/>
    <w:rsid w:val="001B15C2"/>
    <w:rsid w:val="0020659F"/>
    <w:rsid w:val="00227424"/>
    <w:rsid w:val="00235FDD"/>
    <w:rsid w:val="00241507"/>
    <w:rsid w:val="00245194"/>
    <w:rsid w:val="0024683B"/>
    <w:rsid w:val="002821B3"/>
    <w:rsid w:val="002837EE"/>
    <w:rsid w:val="0028694C"/>
    <w:rsid w:val="002B2E5D"/>
    <w:rsid w:val="002B47EF"/>
    <w:rsid w:val="002C222A"/>
    <w:rsid w:val="002C55DC"/>
    <w:rsid w:val="002C5B3F"/>
    <w:rsid w:val="002D5A52"/>
    <w:rsid w:val="002E709B"/>
    <w:rsid w:val="00303AF6"/>
    <w:rsid w:val="00313339"/>
    <w:rsid w:val="00343254"/>
    <w:rsid w:val="00363EDE"/>
    <w:rsid w:val="00370727"/>
    <w:rsid w:val="00373508"/>
    <w:rsid w:val="00373A57"/>
    <w:rsid w:val="00374A3D"/>
    <w:rsid w:val="003A3E0E"/>
    <w:rsid w:val="003A5377"/>
    <w:rsid w:val="003B3706"/>
    <w:rsid w:val="003B69A8"/>
    <w:rsid w:val="003C1CCA"/>
    <w:rsid w:val="004150A2"/>
    <w:rsid w:val="004219EA"/>
    <w:rsid w:val="0042756E"/>
    <w:rsid w:val="00431012"/>
    <w:rsid w:val="004332C9"/>
    <w:rsid w:val="0045617F"/>
    <w:rsid w:val="00493482"/>
    <w:rsid w:val="004A1C6A"/>
    <w:rsid w:val="004B4D0C"/>
    <w:rsid w:val="004C0F71"/>
    <w:rsid w:val="004C65BA"/>
    <w:rsid w:val="004C7457"/>
    <w:rsid w:val="004D1AFE"/>
    <w:rsid w:val="004E49B6"/>
    <w:rsid w:val="00510861"/>
    <w:rsid w:val="00514581"/>
    <w:rsid w:val="00524E56"/>
    <w:rsid w:val="00552E4E"/>
    <w:rsid w:val="00571DAC"/>
    <w:rsid w:val="0057554E"/>
    <w:rsid w:val="00591C94"/>
    <w:rsid w:val="005930F6"/>
    <w:rsid w:val="00597EFB"/>
    <w:rsid w:val="005A67B4"/>
    <w:rsid w:val="005C57EB"/>
    <w:rsid w:val="005C5AA7"/>
    <w:rsid w:val="005D38DF"/>
    <w:rsid w:val="005F26A3"/>
    <w:rsid w:val="00602CC5"/>
    <w:rsid w:val="00603A37"/>
    <w:rsid w:val="006049C0"/>
    <w:rsid w:val="006166B8"/>
    <w:rsid w:val="0063240F"/>
    <w:rsid w:val="00633D4D"/>
    <w:rsid w:val="00640CD4"/>
    <w:rsid w:val="00642B94"/>
    <w:rsid w:val="0065150E"/>
    <w:rsid w:val="006A33AD"/>
    <w:rsid w:val="006C0CD3"/>
    <w:rsid w:val="006D2AA1"/>
    <w:rsid w:val="00716EC9"/>
    <w:rsid w:val="00721507"/>
    <w:rsid w:val="00721DA9"/>
    <w:rsid w:val="00733EC5"/>
    <w:rsid w:val="00737982"/>
    <w:rsid w:val="00794BB0"/>
    <w:rsid w:val="007B5F77"/>
    <w:rsid w:val="007B7DE4"/>
    <w:rsid w:val="007C7758"/>
    <w:rsid w:val="007E37E4"/>
    <w:rsid w:val="007E6E68"/>
    <w:rsid w:val="007F2577"/>
    <w:rsid w:val="007F398B"/>
    <w:rsid w:val="00804159"/>
    <w:rsid w:val="008129A8"/>
    <w:rsid w:val="008211C5"/>
    <w:rsid w:val="008216FD"/>
    <w:rsid w:val="00823120"/>
    <w:rsid w:val="0084047D"/>
    <w:rsid w:val="00855299"/>
    <w:rsid w:val="00863A3B"/>
    <w:rsid w:val="00867C55"/>
    <w:rsid w:val="00874BFB"/>
    <w:rsid w:val="00885BFF"/>
    <w:rsid w:val="00886B5C"/>
    <w:rsid w:val="00891C49"/>
    <w:rsid w:val="008A1B56"/>
    <w:rsid w:val="008A2C78"/>
    <w:rsid w:val="008B0E09"/>
    <w:rsid w:val="008B45FE"/>
    <w:rsid w:val="008C08BC"/>
    <w:rsid w:val="008C1E65"/>
    <w:rsid w:val="00901AC1"/>
    <w:rsid w:val="00910AA4"/>
    <w:rsid w:val="00912111"/>
    <w:rsid w:val="00933BA5"/>
    <w:rsid w:val="00944852"/>
    <w:rsid w:val="00962567"/>
    <w:rsid w:val="009633D6"/>
    <w:rsid w:val="00966299"/>
    <w:rsid w:val="00967595"/>
    <w:rsid w:val="00981C4D"/>
    <w:rsid w:val="00982930"/>
    <w:rsid w:val="009A26C1"/>
    <w:rsid w:val="009A2B5C"/>
    <w:rsid w:val="009A5CB0"/>
    <w:rsid w:val="009C6E9C"/>
    <w:rsid w:val="009E01AE"/>
    <w:rsid w:val="009E7051"/>
    <w:rsid w:val="009F0F0A"/>
    <w:rsid w:val="00A10480"/>
    <w:rsid w:val="00A11C25"/>
    <w:rsid w:val="00A13CC7"/>
    <w:rsid w:val="00A24F93"/>
    <w:rsid w:val="00A2597E"/>
    <w:rsid w:val="00A305BA"/>
    <w:rsid w:val="00A35F6A"/>
    <w:rsid w:val="00A55BC9"/>
    <w:rsid w:val="00A729A0"/>
    <w:rsid w:val="00A8134D"/>
    <w:rsid w:val="00A9473C"/>
    <w:rsid w:val="00AA6223"/>
    <w:rsid w:val="00AB65DB"/>
    <w:rsid w:val="00AC1500"/>
    <w:rsid w:val="00AD72F9"/>
    <w:rsid w:val="00AE1914"/>
    <w:rsid w:val="00AF629F"/>
    <w:rsid w:val="00B06B4A"/>
    <w:rsid w:val="00B22B30"/>
    <w:rsid w:val="00B348FE"/>
    <w:rsid w:val="00B4118B"/>
    <w:rsid w:val="00B501D4"/>
    <w:rsid w:val="00B5489E"/>
    <w:rsid w:val="00B54E6C"/>
    <w:rsid w:val="00B64F5A"/>
    <w:rsid w:val="00B93015"/>
    <w:rsid w:val="00B94F20"/>
    <w:rsid w:val="00BB55B3"/>
    <w:rsid w:val="00BD2978"/>
    <w:rsid w:val="00BE2C25"/>
    <w:rsid w:val="00BE74E7"/>
    <w:rsid w:val="00C02C28"/>
    <w:rsid w:val="00C03BC2"/>
    <w:rsid w:val="00C22E35"/>
    <w:rsid w:val="00C24A3A"/>
    <w:rsid w:val="00C37884"/>
    <w:rsid w:val="00C468A7"/>
    <w:rsid w:val="00C72A6F"/>
    <w:rsid w:val="00C72D8E"/>
    <w:rsid w:val="00C83316"/>
    <w:rsid w:val="00C84857"/>
    <w:rsid w:val="00C92438"/>
    <w:rsid w:val="00CA2B50"/>
    <w:rsid w:val="00CB38F7"/>
    <w:rsid w:val="00CB7D5E"/>
    <w:rsid w:val="00CC5CEA"/>
    <w:rsid w:val="00CE17E6"/>
    <w:rsid w:val="00CE4E26"/>
    <w:rsid w:val="00CE6775"/>
    <w:rsid w:val="00D264DE"/>
    <w:rsid w:val="00D301B1"/>
    <w:rsid w:val="00D33D3F"/>
    <w:rsid w:val="00D34D02"/>
    <w:rsid w:val="00D37007"/>
    <w:rsid w:val="00D409A0"/>
    <w:rsid w:val="00D63D4D"/>
    <w:rsid w:val="00D83DF6"/>
    <w:rsid w:val="00D872BE"/>
    <w:rsid w:val="00DB7770"/>
    <w:rsid w:val="00DC3286"/>
    <w:rsid w:val="00DC3C7A"/>
    <w:rsid w:val="00DC76B4"/>
    <w:rsid w:val="00DE5F44"/>
    <w:rsid w:val="00E07571"/>
    <w:rsid w:val="00E10C47"/>
    <w:rsid w:val="00E30397"/>
    <w:rsid w:val="00E45F08"/>
    <w:rsid w:val="00E47002"/>
    <w:rsid w:val="00E624A3"/>
    <w:rsid w:val="00EA6353"/>
    <w:rsid w:val="00EB13D5"/>
    <w:rsid w:val="00EB7410"/>
    <w:rsid w:val="00EC2037"/>
    <w:rsid w:val="00EC5222"/>
    <w:rsid w:val="00EC6045"/>
    <w:rsid w:val="00EF247D"/>
    <w:rsid w:val="00EF4CDC"/>
    <w:rsid w:val="00F000A6"/>
    <w:rsid w:val="00F20161"/>
    <w:rsid w:val="00F201EE"/>
    <w:rsid w:val="00F56897"/>
    <w:rsid w:val="00F73261"/>
    <w:rsid w:val="00F7793E"/>
    <w:rsid w:val="00F77D04"/>
    <w:rsid w:val="00F80B20"/>
    <w:rsid w:val="00F85EAC"/>
    <w:rsid w:val="00F87FCF"/>
    <w:rsid w:val="00F92EEB"/>
    <w:rsid w:val="00FA76A5"/>
    <w:rsid w:val="00FC2361"/>
    <w:rsid w:val="00FD0F5F"/>
    <w:rsid w:val="00FD165F"/>
    <w:rsid w:val="00FD341B"/>
    <w:rsid w:val="00FE0BFF"/>
    <w:rsid w:val="00FE57FE"/>
    <w:rsid w:val="00FF6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62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38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6EC9"/>
    <w:rPr>
      <w:color w:val="0000FF" w:themeColor="hyperlink"/>
      <w:u w:val="single"/>
    </w:rPr>
  </w:style>
  <w:style w:type="paragraph" w:styleId="ListParagraph">
    <w:name w:val="List Paragraph"/>
    <w:basedOn w:val="Normal"/>
    <w:uiPriority w:val="34"/>
    <w:qFormat/>
    <w:rsid w:val="000567D2"/>
    <w:pPr>
      <w:ind w:left="720"/>
      <w:contextualSpacing/>
    </w:pPr>
  </w:style>
  <w:style w:type="table" w:styleId="TableGrid">
    <w:name w:val="Table Grid"/>
    <w:basedOn w:val="TableNormal"/>
    <w:uiPriority w:val="59"/>
    <w:rsid w:val="00C02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936BF"/>
  </w:style>
  <w:style w:type="paragraph" w:styleId="Header">
    <w:name w:val="header"/>
    <w:aliases w:val=" Char"/>
    <w:basedOn w:val="Normal"/>
    <w:link w:val="HeaderChar"/>
    <w:uiPriority w:val="99"/>
    <w:unhideWhenUsed/>
    <w:rsid w:val="00BE74E7"/>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BE74E7"/>
  </w:style>
  <w:style w:type="paragraph" w:styleId="Footer">
    <w:name w:val="footer"/>
    <w:basedOn w:val="Normal"/>
    <w:link w:val="FooterChar"/>
    <w:uiPriority w:val="99"/>
    <w:unhideWhenUsed/>
    <w:rsid w:val="00BE7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4E7"/>
  </w:style>
  <w:style w:type="paragraph" w:styleId="BalloonText">
    <w:name w:val="Balloon Text"/>
    <w:basedOn w:val="Normal"/>
    <w:link w:val="BalloonTextChar"/>
    <w:uiPriority w:val="99"/>
    <w:semiHidden/>
    <w:unhideWhenUsed/>
    <w:rsid w:val="00BE7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79462">
      <w:bodyDiv w:val="1"/>
      <w:marLeft w:val="0"/>
      <w:marRight w:val="0"/>
      <w:marTop w:val="0"/>
      <w:marBottom w:val="0"/>
      <w:divBdr>
        <w:top w:val="none" w:sz="0" w:space="0" w:color="auto"/>
        <w:left w:val="none" w:sz="0" w:space="0" w:color="auto"/>
        <w:bottom w:val="none" w:sz="0" w:space="0" w:color="auto"/>
        <w:right w:val="none" w:sz="0" w:space="0" w:color="auto"/>
      </w:divBdr>
    </w:div>
    <w:div w:id="125707767">
      <w:bodyDiv w:val="1"/>
      <w:marLeft w:val="0"/>
      <w:marRight w:val="0"/>
      <w:marTop w:val="0"/>
      <w:marBottom w:val="0"/>
      <w:divBdr>
        <w:top w:val="none" w:sz="0" w:space="0" w:color="auto"/>
        <w:left w:val="none" w:sz="0" w:space="0" w:color="auto"/>
        <w:bottom w:val="none" w:sz="0" w:space="0" w:color="auto"/>
        <w:right w:val="none" w:sz="0" w:space="0" w:color="auto"/>
      </w:divBdr>
    </w:div>
    <w:div w:id="145054781">
      <w:bodyDiv w:val="1"/>
      <w:marLeft w:val="0"/>
      <w:marRight w:val="0"/>
      <w:marTop w:val="0"/>
      <w:marBottom w:val="0"/>
      <w:divBdr>
        <w:top w:val="none" w:sz="0" w:space="0" w:color="auto"/>
        <w:left w:val="none" w:sz="0" w:space="0" w:color="auto"/>
        <w:bottom w:val="none" w:sz="0" w:space="0" w:color="auto"/>
        <w:right w:val="none" w:sz="0" w:space="0" w:color="auto"/>
      </w:divBdr>
      <w:divsChild>
        <w:div w:id="281152303">
          <w:marLeft w:val="0"/>
          <w:marRight w:val="0"/>
          <w:marTop w:val="0"/>
          <w:marBottom w:val="0"/>
          <w:divBdr>
            <w:top w:val="none" w:sz="0" w:space="0" w:color="auto"/>
            <w:left w:val="none" w:sz="0" w:space="0" w:color="auto"/>
            <w:bottom w:val="none" w:sz="0" w:space="0" w:color="auto"/>
            <w:right w:val="none" w:sz="0" w:space="0" w:color="auto"/>
          </w:divBdr>
        </w:div>
      </w:divsChild>
    </w:div>
    <w:div w:id="179777501">
      <w:bodyDiv w:val="1"/>
      <w:marLeft w:val="0"/>
      <w:marRight w:val="0"/>
      <w:marTop w:val="0"/>
      <w:marBottom w:val="0"/>
      <w:divBdr>
        <w:top w:val="none" w:sz="0" w:space="0" w:color="auto"/>
        <w:left w:val="none" w:sz="0" w:space="0" w:color="auto"/>
        <w:bottom w:val="none" w:sz="0" w:space="0" w:color="auto"/>
        <w:right w:val="none" w:sz="0" w:space="0" w:color="auto"/>
      </w:divBdr>
    </w:div>
    <w:div w:id="205529123">
      <w:bodyDiv w:val="1"/>
      <w:marLeft w:val="0"/>
      <w:marRight w:val="0"/>
      <w:marTop w:val="0"/>
      <w:marBottom w:val="0"/>
      <w:divBdr>
        <w:top w:val="none" w:sz="0" w:space="0" w:color="auto"/>
        <w:left w:val="none" w:sz="0" w:space="0" w:color="auto"/>
        <w:bottom w:val="none" w:sz="0" w:space="0" w:color="auto"/>
        <w:right w:val="none" w:sz="0" w:space="0" w:color="auto"/>
      </w:divBdr>
    </w:div>
    <w:div w:id="261496189">
      <w:bodyDiv w:val="1"/>
      <w:marLeft w:val="0"/>
      <w:marRight w:val="0"/>
      <w:marTop w:val="0"/>
      <w:marBottom w:val="0"/>
      <w:divBdr>
        <w:top w:val="none" w:sz="0" w:space="0" w:color="auto"/>
        <w:left w:val="none" w:sz="0" w:space="0" w:color="auto"/>
        <w:bottom w:val="none" w:sz="0" w:space="0" w:color="auto"/>
        <w:right w:val="none" w:sz="0" w:space="0" w:color="auto"/>
      </w:divBdr>
    </w:div>
    <w:div w:id="312493617">
      <w:bodyDiv w:val="1"/>
      <w:marLeft w:val="0"/>
      <w:marRight w:val="0"/>
      <w:marTop w:val="0"/>
      <w:marBottom w:val="0"/>
      <w:divBdr>
        <w:top w:val="none" w:sz="0" w:space="0" w:color="auto"/>
        <w:left w:val="none" w:sz="0" w:space="0" w:color="auto"/>
        <w:bottom w:val="none" w:sz="0" w:space="0" w:color="auto"/>
        <w:right w:val="none" w:sz="0" w:space="0" w:color="auto"/>
      </w:divBdr>
    </w:div>
    <w:div w:id="603419177">
      <w:bodyDiv w:val="1"/>
      <w:marLeft w:val="0"/>
      <w:marRight w:val="0"/>
      <w:marTop w:val="0"/>
      <w:marBottom w:val="0"/>
      <w:divBdr>
        <w:top w:val="none" w:sz="0" w:space="0" w:color="auto"/>
        <w:left w:val="none" w:sz="0" w:space="0" w:color="auto"/>
        <w:bottom w:val="none" w:sz="0" w:space="0" w:color="auto"/>
        <w:right w:val="none" w:sz="0" w:space="0" w:color="auto"/>
      </w:divBdr>
    </w:div>
    <w:div w:id="838538478">
      <w:bodyDiv w:val="1"/>
      <w:marLeft w:val="0"/>
      <w:marRight w:val="0"/>
      <w:marTop w:val="0"/>
      <w:marBottom w:val="0"/>
      <w:divBdr>
        <w:top w:val="none" w:sz="0" w:space="0" w:color="auto"/>
        <w:left w:val="none" w:sz="0" w:space="0" w:color="auto"/>
        <w:bottom w:val="none" w:sz="0" w:space="0" w:color="auto"/>
        <w:right w:val="none" w:sz="0" w:space="0" w:color="auto"/>
      </w:divBdr>
    </w:div>
    <w:div w:id="937836302">
      <w:bodyDiv w:val="1"/>
      <w:marLeft w:val="0"/>
      <w:marRight w:val="0"/>
      <w:marTop w:val="0"/>
      <w:marBottom w:val="0"/>
      <w:divBdr>
        <w:top w:val="none" w:sz="0" w:space="0" w:color="auto"/>
        <w:left w:val="none" w:sz="0" w:space="0" w:color="auto"/>
        <w:bottom w:val="none" w:sz="0" w:space="0" w:color="auto"/>
        <w:right w:val="none" w:sz="0" w:space="0" w:color="auto"/>
      </w:divBdr>
      <w:divsChild>
        <w:div w:id="137186908">
          <w:marLeft w:val="144"/>
          <w:marRight w:val="0"/>
          <w:marTop w:val="240"/>
          <w:marBottom w:val="40"/>
          <w:divBdr>
            <w:top w:val="none" w:sz="0" w:space="0" w:color="auto"/>
            <w:left w:val="none" w:sz="0" w:space="0" w:color="auto"/>
            <w:bottom w:val="none" w:sz="0" w:space="0" w:color="auto"/>
            <w:right w:val="none" w:sz="0" w:space="0" w:color="auto"/>
          </w:divBdr>
        </w:div>
        <w:div w:id="1642269914">
          <w:marLeft w:val="144"/>
          <w:marRight w:val="0"/>
          <w:marTop w:val="240"/>
          <w:marBottom w:val="40"/>
          <w:divBdr>
            <w:top w:val="none" w:sz="0" w:space="0" w:color="auto"/>
            <w:left w:val="none" w:sz="0" w:space="0" w:color="auto"/>
            <w:bottom w:val="none" w:sz="0" w:space="0" w:color="auto"/>
            <w:right w:val="none" w:sz="0" w:space="0" w:color="auto"/>
          </w:divBdr>
        </w:div>
        <w:div w:id="1634676651">
          <w:marLeft w:val="144"/>
          <w:marRight w:val="0"/>
          <w:marTop w:val="240"/>
          <w:marBottom w:val="40"/>
          <w:divBdr>
            <w:top w:val="none" w:sz="0" w:space="0" w:color="auto"/>
            <w:left w:val="none" w:sz="0" w:space="0" w:color="auto"/>
            <w:bottom w:val="none" w:sz="0" w:space="0" w:color="auto"/>
            <w:right w:val="none" w:sz="0" w:space="0" w:color="auto"/>
          </w:divBdr>
        </w:div>
        <w:div w:id="1340039229">
          <w:marLeft w:val="144"/>
          <w:marRight w:val="0"/>
          <w:marTop w:val="240"/>
          <w:marBottom w:val="40"/>
          <w:divBdr>
            <w:top w:val="none" w:sz="0" w:space="0" w:color="auto"/>
            <w:left w:val="none" w:sz="0" w:space="0" w:color="auto"/>
            <w:bottom w:val="none" w:sz="0" w:space="0" w:color="auto"/>
            <w:right w:val="none" w:sz="0" w:space="0" w:color="auto"/>
          </w:divBdr>
        </w:div>
        <w:div w:id="1031762159">
          <w:marLeft w:val="144"/>
          <w:marRight w:val="0"/>
          <w:marTop w:val="240"/>
          <w:marBottom w:val="40"/>
          <w:divBdr>
            <w:top w:val="none" w:sz="0" w:space="0" w:color="auto"/>
            <w:left w:val="none" w:sz="0" w:space="0" w:color="auto"/>
            <w:bottom w:val="none" w:sz="0" w:space="0" w:color="auto"/>
            <w:right w:val="none" w:sz="0" w:space="0" w:color="auto"/>
          </w:divBdr>
        </w:div>
      </w:divsChild>
    </w:div>
    <w:div w:id="1096902042">
      <w:bodyDiv w:val="1"/>
      <w:marLeft w:val="0"/>
      <w:marRight w:val="0"/>
      <w:marTop w:val="0"/>
      <w:marBottom w:val="0"/>
      <w:divBdr>
        <w:top w:val="none" w:sz="0" w:space="0" w:color="auto"/>
        <w:left w:val="none" w:sz="0" w:space="0" w:color="auto"/>
        <w:bottom w:val="none" w:sz="0" w:space="0" w:color="auto"/>
        <w:right w:val="none" w:sz="0" w:space="0" w:color="auto"/>
      </w:divBdr>
    </w:div>
    <w:div w:id="1131245718">
      <w:bodyDiv w:val="1"/>
      <w:marLeft w:val="0"/>
      <w:marRight w:val="0"/>
      <w:marTop w:val="0"/>
      <w:marBottom w:val="0"/>
      <w:divBdr>
        <w:top w:val="none" w:sz="0" w:space="0" w:color="auto"/>
        <w:left w:val="none" w:sz="0" w:space="0" w:color="auto"/>
        <w:bottom w:val="none" w:sz="0" w:space="0" w:color="auto"/>
        <w:right w:val="none" w:sz="0" w:space="0" w:color="auto"/>
      </w:divBdr>
    </w:div>
    <w:div w:id="1458526050">
      <w:bodyDiv w:val="1"/>
      <w:marLeft w:val="0"/>
      <w:marRight w:val="0"/>
      <w:marTop w:val="0"/>
      <w:marBottom w:val="0"/>
      <w:divBdr>
        <w:top w:val="none" w:sz="0" w:space="0" w:color="auto"/>
        <w:left w:val="none" w:sz="0" w:space="0" w:color="auto"/>
        <w:bottom w:val="none" w:sz="0" w:space="0" w:color="auto"/>
        <w:right w:val="none" w:sz="0" w:space="0" w:color="auto"/>
      </w:divBdr>
    </w:div>
    <w:div w:id="1495339829">
      <w:bodyDiv w:val="1"/>
      <w:marLeft w:val="0"/>
      <w:marRight w:val="0"/>
      <w:marTop w:val="0"/>
      <w:marBottom w:val="0"/>
      <w:divBdr>
        <w:top w:val="none" w:sz="0" w:space="0" w:color="auto"/>
        <w:left w:val="none" w:sz="0" w:space="0" w:color="auto"/>
        <w:bottom w:val="none" w:sz="0" w:space="0" w:color="auto"/>
        <w:right w:val="none" w:sz="0" w:space="0" w:color="auto"/>
      </w:divBdr>
    </w:div>
    <w:div w:id="1512716329">
      <w:bodyDiv w:val="1"/>
      <w:marLeft w:val="0"/>
      <w:marRight w:val="0"/>
      <w:marTop w:val="0"/>
      <w:marBottom w:val="0"/>
      <w:divBdr>
        <w:top w:val="none" w:sz="0" w:space="0" w:color="auto"/>
        <w:left w:val="none" w:sz="0" w:space="0" w:color="auto"/>
        <w:bottom w:val="none" w:sz="0" w:space="0" w:color="auto"/>
        <w:right w:val="none" w:sz="0" w:space="0" w:color="auto"/>
      </w:divBdr>
      <w:divsChild>
        <w:div w:id="1496721541">
          <w:marLeft w:val="1440"/>
          <w:marRight w:val="0"/>
          <w:marTop w:val="0"/>
          <w:marBottom w:val="0"/>
          <w:divBdr>
            <w:top w:val="none" w:sz="0" w:space="0" w:color="auto"/>
            <w:left w:val="none" w:sz="0" w:space="0" w:color="auto"/>
            <w:bottom w:val="none" w:sz="0" w:space="0" w:color="auto"/>
            <w:right w:val="none" w:sz="0" w:space="0" w:color="auto"/>
          </w:divBdr>
        </w:div>
        <w:div w:id="355926395">
          <w:marLeft w:val="1440"/>
          <w:marRight w:val="0"/>
          <w:marTop w:val="0"/>
          <w:marBottom w:val="0"/>
          <w:divBdr>
            <w:top w:val="none" w:sz="0" w:space="0" w:color="auto"/>
            <w:left w:val="none" w:sz="0" w:space="0" w:color="auto"/>
            <w:bottom w:val="none" w:sz="0" w:space="0" w:color="auto"/>
            <w:right w:val="none" w:sz="0" w:space="0" w:color="auto"/>
          </w:divBdr>
        </w:div>
      </w:divsChild>
    </w:div>
    <w:div w:id="1581018833">
      <w:bodyDiv w:val="1"/>
      <w:marLeft w:val="0"/>
      <w:marRight w:val="0"/>
      <w:marTop w:val="0"/>
      <w:marBottom w:val="0"/>
      <w:divBdr>
        <w:top w:val="none" w:sz="0" w:space="0" w:color="auto"/>
        <w:left w:val="none" w:sz="0" w:space="0" w:color="auto"/>
        <w:bottom w:val="none" w:sz="0" w:space="0" w:color="auto"/>
        <w:right w:val="none" w:sz="0" w:space="0" w:color="auto"/>
      </w:divBdr>
    </w:div>
    <w:div w:id="1620258746">
      <w:bodyDiv w:val="1"/>
      <w:marLeft w:val="0"/>
      <w:marRight w:val="0"/>
      <w:marTop w:val="0"/>
      <w:marBottom w:val="0"/>
      <w:divBdr>
        <w:top w:val="none" w:sz="0" w:space="0" w:color="auto"/>
        <w:left w:val="none" w:sz="0" w:space="0" w:color="auto"/>
        <w:bottom w:val="none" w:sz="0" w:space="0" w:color="auto"/>
        <w:right w:val="none" w:sz="0" w:space="0" w:color="auto"/>
      </w:divBdr>
    </w:div>
    <w:div w:id="1747915690">
      <w:bodyDiv w:val="1"/>
      <w:marLeft w:val="0"/>
      <w:marRight w:val="0"/>
      <w:marTop w:val="0"/>
      <w:marBottom w:val="0"/>
      <w:divBdr>
        <w:top w:val="none" w:sz="0" w:space="0" w:color="auto"/>
        <w:left w:val="none" w:sz="0" w:space="0" w:color="auto"/>
        <w:bottom w:val="none" w:sz="0" w:space="0" w:color="auto"/>
        <w:right w:val="none" w:sz="0" w:space="0" w:color="auto"/>
      </w:divBdr>
    </w:div>
    <w:div w:id="1806855128">
      <w:bodyDiv w:val="1"/>
      <w:marLeft w:val="0"/>
      <w:marRight w:val="0"/>
      <w:marTop w:val="0"/>
      <w:marBottom w:val="0"/>
      <w:divBdr>
        <w:top w:val="none" w:sz="0" w:space="0" w:color="auto"/>
        <w:left w:val="none" w:sz="0" w:space="0" w:color="auto"/>
        <w:bottom w:val="none" w:sz="0" w:space="0" w:color="auto"/>
        <w:right w:val="none" w:sz="0" w:space="0" w:color="auto"/>
      </w:divBdr>
      <w:divsChild>
        <w:div w:id="738476898">
          <w:marLeft w:val="0"/>
          <w:marRight w:val="0"/>
          <w:marTop w:val="0"/>
          <w:marBottom w:val="0"/>
          <w:divBdr>
            <w:top w:val="none" w:sz="0" w:space="0" w:color="auto"/>
            <w:left w:val="none" w:sz="0" w:space="0" w:color="auto"/>
            <w:bottom w:val="none" w:sz="0" w:space="0" w:color="auto"/>
            <w:right w:val="none" w:sz="0" w:space="0" w:color="auto"/>
          </w:divBdr>
        </w:div>
        <w:div w:id="2002585960">
          <w:marLeft w:val="0"/>
          <w:marRight w:val="0"/>
          <w:marTop w:val="0"/>
          <w:marBottom w:val="0"/>
          <w:divBdr>
            <w:top w:val="none" w:sz="0" w:space="0" w:color="auto"/>
            <w:left w:val="none" w:sz="0" w:space="0" w:color="auto"/>
            <w:bottom w:val="none" w:sz="0" w:space="0" w:color="auto"/>
            <w:right w:val="none" w:sz="0" w:space="0" w:color="auto"/>
          </w:divBdr>
          <w:divsChild>
            <w:div w:id="5575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19221">
      <w:bodyDiv w:val="1"/>
      <w:marLeft w:val="0"/>
      <w:marRight w:val="0"/>
      <w:marTop w:val="0"/>
      <w:marBottom w:val="0"/>
      <w:divBdr>
        <w:top w:val="none" w:sz="0" w:space="0" w:color="auto"/>
        <w:left w:val="none" w:sz="0" w:space="0" w:color="auto"/>
        <w:bottom w:val="none" w:sz="0" w:space="0" w:color="auto"/>
        <w:right w:val="none" w:sz="0" w:space="0" w:color="auto"/>
      </w:divBdr>
    </w:div>
    <w:div w:id="19600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5AA04-3DA8-4554-91EF-6482DFCC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firends</dc:creator>
  <cp:lastModifiedBy>as</cp:lastModifiedBy>
  <cp:revision>5</cp:revision>
  <cp:lastPrinted>2018-04-09T11:16:00Z</cp:lastPrinted>
  <dcterms:created xsi:type="dcterms:W3CDTF">2018-04-09T09:34:00Z</dcterms:created>
  <dcterms:modified xsi:type="dcterms:W3CDTF">2018-06-23T08:59:00Z</dcterms:modified>
</cp:coreProperties>
</file>